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1ADD1" w14:textId="053B188E" w:rsidR="00662B75" w:rsidRPr="00E42DF5" w:rsidRDefault="00662B75" w:rsidP="00E42DF5">
      <w:pPr>
        <w:spacing w:after="0" w:line="276" w:lineRule="auto"/>
        <w:jc w:val="center"/>
        <w:rPr>
          <w:rFonts w:ascii="Calibri" w:hAnsi="Calibri" w:cs="Calibri"/>
          <w:b/>
          <w:bCs/>
          <w:color w:val="00B050"/>
          <w:sz w:val="28"/>
          <w:szCs w:val="28"/>
        </w:rPr>
      </w:pPr>
      <w:r w:rsidRPr="00E42DF5">
        <w:rPr>
          <w:rFonts w:ascii="Calibri" w:hAnsi="Calibri" w:cs="Calibri"/>
          <w:b/>
          <w:bCs/>
          <w:color w:val="00B050"/>
          <w:sz w:val="28"/>
          <w:szCs w:val="28"/>
        </w:rPr>
        <w:t>TMG Infection Prevention Report</w:t>
      </w:r>
    </w:p>
    <w:p w14:paraId="67BF102A" w14:textId="77777777" w:rsidR="00662B75" w:rsidRPr="00E42DF5" w:rsidRDefault="00662B75" w:rsidP="00E42DF5">
      <w:pPr>
        <w:spacing w:after="0" w:line="276" w:lineRule="auto"/>
        <w:jc w:val="center"/>
        <w:rPr>
          <w:rFonts w:ascii="Calibri" w:hAnsi="Calibri" w:cs="Calibri"/>
          <w:b/>
          <w:bCs/>
          <w:color w:val="00B050"/>
          <w:sz w:val="28"/>
          <w:szCs w:val="28"/>
        </w:rPr>
      </w:pPr>
      <w:r w:rsidRPr="00E42DF5">
        <w:rPr>
          <w:rFonts w:ascii="Calibri" w:hAnsi="Calibri" w:cs="Calibri"/>
          <w:b/>
          <w:bCs/>
          <w:color w:val="00B050"/>
          <w:sz w:val="28"/>
          <w:szCs w:val="28"/>
        </w:rPr>
        <w:t>September 2026</w:t>
      </w:r>
    </w:p>
    <w:p w14:paraId="3F8F8CA3" w14:textId="77777777" w:rsidR="00662B75" w:rsidRPr="00E42DF5" w:rsidRDefault="00662B75" w:rsidP="00E42DF5">
      <w:pPr>
        <w:spacing w:after="0" w:line="276" w:lineRule="auto"/>
        <w:rPr>
          <w:rFonts w:ascii="Calibri" w:hAnsi="Calibri" w:cs="Calibri"/>
          <w:sz w:val="22"/>
          <w:szCs w:val="22"/>
        </w:rPr>
      </w:pPr>
    </w:p>
    <w:p w14:paraId="1BCDED5B" w14:textId="27DC0A9A" w:rsidR="00662B75" w:rsidRPr="00E42DF5" w:rsidRDefault="00662B75" w:rsidP="00E42DF5">
      <w:pPr>
        <w:spacing w:after="0" w:line="276" w:lineRule="auto"/>
        <w:rPr>
          <w:rFonts w:ascii="Calibri" w:hAnsi="Calibri" w:cs="Calibri"/>
          <w:b/>
          <w:bCs/>
          <w:sz w:val="22"/>
          <w:szCs w:val="22"/>
        </w:rPr>
      </w:pPr>
      <w:r w:rsidRPr="00E42DF5">
        <w:rPr>
          <w:rFonts w:ascii="Calibri" w:hAnsi="Calibri" w:cs="Calibri"/>
          <w:b/>
          <w:bCs/>
          <w:sz w:val="22"/>
          <w:szCs w:val="22"/>
        </w:rPr>
        <w:t>IPC Annual Statement</w:t>
      </w:r>
    </w:p>
    <w:p w14:paraId="571D7748" w14:textId="77777777" w:rsidR="00662B75" w:rsidRPr="00E42DF5" w:rsidRDefault="00662B75" w:rsidP="00E42DF5">
      <w:pPr>
        <w:spacing w:after="0" w:line="276" w:lineRule="auto"/>
        <w:rPr>
          <w:rFonts w:ascii="Calibri" w:hAnsi="Calibri" w:cs="Calibri"/>
          <w:b/>
          <w:bCs/>
          <w:sz w:val="22"/>
          <w:szCs w:val="22"/>
        </w:rPr>
      </w:pPr>
    </w:p>
    <w:p w14:paraId="0FA543D6"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bCs/>
          <w:sz w:val="22"/>
          <w:szCs w:val="22"/>
        </w:rPr>
        <w:t>Purpose </w:t>
      </w:r>
    </w:p>
    <w:p w14:paraId="5228261C"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 xml:space="preserve">This annual statement has been prepared in accordance with the requirements of the </w:t>
      </w:r>
      <w:hyperlink r:id="rId5" w:history="1">
        <w:r w:rsidRPr="00E42DF5">
          <w:rPr>
            <w:rStyle w:val="Hyperlink"/>
            <w:rFonts w:ascii="Calibri" w:hAnsi="Calibri" w:cs="Calibri"/>
            <w:sz w:val="22"/>
            <w:szCs w:val="22"/>
          </w:rPr>
          <w:t>Health and Social Care Act 2008 Code of Practice</w:t>
        </w:r>
      </w:hyperlink>
      <w:r w:rsidRPr="00E42DF5">
        <w:rPr>
          <w:rFonts w:ascii="Calibri" w:hAnsi="Calibri" w:cs="Calibri"/>
          <w:sz w:val="22"/>
          <w:szCs w:val="22"/>
        </w:rPr>
        <w:t xml:space="preserve"> on the prevention and control of infections and related guidance. It summarises:</w:t>
      </w:r>
    </w:p>
    <w:p w14:paraId="694AD0F1" w14:textId="77777777" w:rsidR="00662B75" w:rsidRPr="00E42DF5" w:rsidRDefault="00662B75" w:rsidP="00E42DF5">
      <w:pPr>
        <w:pStyle w:val="ListParagraph"/>
        <w:numPr>
          <w:ilvl w:val="0"/>
          <w:numId w:val="1"/>
        </w:numPr>
        <w:spacing w:after="0" w:line="276" w:lineRule="auto"/>
        <w:rPr>
          <w:rFonts w:ascii="Calibri" w:hAnsi="Calibri" w:cs="Calibri"/>
          <w:sz w:val="22"/>
          <w:szCs w:val="22"/>
        </w:rPr>
      </w:pPr>
      <w:r w:rsidRPr="00E42DF5">
        <w:rPr>
          <w:rFonts w:ascii="Calibri" w:hAnsi="Calibri" w:cs="Calibri"/>
          <w:sz w:val="22"/>
          <w:szCs w:val="22"/>
        </w:rPr>
        <w:t>Infection transmission incidents and actions taken, reported through the significant event procedure</w:t>
      </w:r>
    </w:p>
    <w:p w14:paraId="763EA668" w14:textId="77777777" w:rsidR="00662B75" w:rsidRPr="00E42DF5" w:rsidRDefault="00662B75" w:rsidP="00E42DF5">
      <w:pPr>
        <w:pStyle w:val="ListParagraph"/>
        <w:numPr>
          <w:ilvl w:val="0"/>
          <w:numId w:val="1"/>
        </w:numPr>
        <w:spacing w:after="0" w:line="276" w:lineRule="auto"/>
        <w:rPr>
          <w:rFonts w:ascii="Calibri" w:hAnsi="Calibri" w:cs="Calibri"/>
          <w:sz w:val="22"/>
          <w:szCs w:val="22"/>
        </w:rPr>
      </w:pPr>
      <w:r w:rsidRPr="00E42DF5">
        <w:rPr>
          <w:rFonts w:ascii="Calibri" w:hAnsi="Calibri" w:cs="Calibri"/>
          <w:sz w:val="22"/>
          <w:szCs w:val="22"/>
        </w:rPr>
        <w:t>Infection control audits and resulting actions</w:t>
      </w:r>
    </w:p>
    <w:p w14:paraId="5C82E375" w14:textId="77777777" w:rsidR="00662B75" w:rsidRPr="00E42DF5" w:rsidRDefault="00662B75" w:rsidP="00E42DF5">
      <w:pPr>
        <w:pStyle w:val="ListParagraph"/>
        <w:numPr>
          <w:ilvl w:val="0"/>
          <w:numId w:val="1"/>
        </w:numPr>
        <w:spacing w:after="0" w:line="276" w:lineRule="auto"/>
        <w:rPr>
          <w:rFonts w:ascii="Calibri" w:hAnsi="Calibri" w:cs="Calibri"/>
          <w:sz w:val="22"/>
          <w:szCs w:val="22"/>
        </w:rPr>
      </w:pPr>
      <w:r w:rsidRPr="00E42DF5">
        <w:rPr>
          <w:rFonts w:ascii="Calibri" w:hAnsi="Calibri" w:cs="Calibri"/>
          <w:sz w:val="22"/>
          <w:szCs w:val="22"/>
        </w:rPr>
        <w:t>Infection prevention and control risk assessments</w:t>
      </w:r>
    </w:p>
    <w:p w14:paraId="245CED20" w14:textId="77777777" w:rsidR="00662B75" w:rsidRPr="00E42DF5" w:rsidRDefault="00662B75" w:rsidP="00E42DF5">
      <w:pPr>
        <w:pStyle w:val="ListParagraph"/>
        <w:numPr>
          <w:ilvl w:val="0"/>
          <w:numId w:val="1"/>
        </w:numPr>
        <w:spacing w:after="0" w:line="276" w:lineRule="auto"/>
        <w:rPr>
          <w:rFonts w:ascii="Calibri" w:hAnsi="Calibri" w:cs="Calibri"/>
          <w:sz w:val="22"/>
          <w:szCs w:val="22"/>
        </w:rPr>
      </w:pPr>
      <w:r w:rsidRPr="00E42DF5">
        <w:rPr>
          <w:rFonts w:ascii="Calibri" w:hAnsi="Calibri" w:cs="Calibri"/>
          <w:sz w:val="22"/>
          <w:szCs w:val="22"/>
        </w:rPr>
        <w:t>Staff training</w:t>
      </w:r>
    </w:p>
    <w:p w14:paraId="1C01B480" w14:textId="77777777" w:rsidR="00662B75" w:rsidRPr="00E42DF5" w:rsidRDefault="00662B75" w:rsidP="00E42DF5">
      <w:pPr>
        <w:pStyle w:val="ListParagraph"/>
        <w:numPr>
          <w:ilvl w:val="0"/>
          <w:numId w:val="1"/>
        </w:numPr>
        <w:spacing w:after="0" w:line="276" w:lineRule="auto"/>
        <w:rPr>
          <w:rFonts w:ascii="Calibri" w:hAnsi="Calibri" w:cs="Calibri"/>
          <w:sz w:val="22"/>
          <w:szCs w:val="22"/>
        </w:rPr>
      </w:pPr>
      <w:r w:rsidRPr="00E42DF5">
        <w:rPr>
          <w:rFonts w:ascii="Calibri" w:hAnsi="Calibri" w:cs="Calibri"/>
          <w:sz w:val="22"/>
          <w:szCs w:val="22"/>
        </w:rPr>
        <w:t>Reviews and updates to policies, procedures and guidelines</w:t>
      </w:r>
    </w:p>
    <w:p w14:paraId="669F46C2" w14:textId="77777777" w:rsidR="00662B75" w:rsidRPr="00E42DF5" w:rsidRDefault="00662B75" w:rsidP="00E42DF5">
      <w:pPr>
        <w:pStyle w:val="ListParagraph"/>
        <w:spacing w:after="0" w:line="276" w:lineRule="auto"/>
        <w:rPr>
          <w:rFonts w:ascii="Calibri" w:hAnsi="Calibri" w:cs="Calibri"/>
          <w:sz w:val="22"/>
          <w:szCs w:val="22"/>
        </w:rPr>
      </w:pPr>
    </w:p>
    <w:p w14:paraId="08765E1B"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bCs/>
          <w:sz w:val="22"/>
          <w:szCs w:val="22"/>
        </w:rPr>
        <w:t>Infection Prevention and Control (IPC) Lead</w:t>
      </w:r>
    </w:p>
    <w:p w14:paraId="4004EFD9"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Rachel Tanner, Lead Nurse at Backwell Medical Centre, is the Infection Prevention and Control (IPC) Lead for Tyntesfield Medical Group (TMG).</w:t>
      </w:r>
    </w:p>
    <w:p w14:paraId="187240F6"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The IPC Lead is supported by Liz Pemberton, Nurse Manager, and the TMG Governance Team (Dr Jon Rees, Registered Manager &amp; Governance Lead, Gemma Harding, Executive Manager).</w:t>
      </w:r>
    </w:p>
    <w:p w14:paraId="1BC625A9" w14:textId="77777777" w:rsidR="00662B75" w:rsidRPr="00E42DF5" w:rsidRDefault="00662B75" w:rsidP="00E42DF5">
      <w:pPr>
        <w:spacing w:after="0" w:line="276" w:lineRule="auto"/>
        <w:rPr>
          <w:rFonts w:ascii="Calibri" w:hAnsi="Calibri" w:cs="Calibri"/>
          <w:sz w:val="22"/>
          <w:szCs w:val="22"/>
        </w:rPr>
      </w:pPr>
    </w:p>
    <w:p w14:paraId="7232CAC5"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bCs/>
          <w:sz w:val="22"/>
          <w:szCs w:val="22"/>
        </w:rPr>
        <w:t>Infection transmission incidents (significant events)</w:t>
      </w:r>
    </w:p>
    <w:p w14:paraId="2199EA9E"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Significant events include examples of good practice and events that highlight areas for improvement.</w:t>
      </w:r>
    </w:p>
    <w:p w14:paraId="28CA7D67"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Positive events are discussed at meetings to share best practice with all staff.</w:t>
      </w:r>
    </w:p>
    <w:p w14:paraId="7B398F43" w14:textId="66A6F959"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The staff member who identifies or is notified of a potential shortcoming completes a Significant Event Analysis (SEA) form which is located on TeamNet. This initiates an investigation to identify learning and changes that could improve practice.</w:t>
      </w:r>
    </w:p>
    <w:p w14:paraId="6A39FC0B"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All significant events are reviewed at governance meetings, and learning is shared with relevant staff. An action plan may follow, including audits or policy reviews. Dr Adam Whitehead leads on significant events, supported by Dr Jon Rees as overall Governance Lead.</w:t>
      </w:r>
    </w:p>
    <w:p w14:paraId="4D8711D4"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In the past year, no infection control-related significant events were reported, and no complaints were received about cleanliness or infection control.</w:t>
      </w:r>
    </w:p>
    <w:p w14:paraId="5369CDC8" w14:textId="77777777" w:rsidR="00662B75" w:rsidRPr="00E42DF5" w:rsidRDefault="00662B75" w:rsidP="00E42DF5">
      <w:pPr>
        <w:spacing w:after="0" w:line="276" w:lineRule="auto"/>
        <w:rPr>
          <w:rFonts w:ascii="Calibri" w:hAnsi="Calibri" w:cs="Calibri"/>
          <w:sz w:val="22"/>
          <w:szCs w:val="22"/>
        </w:rPr>
      </w:pPr>
    </w:p>
    <w:p w14:paraId="51C3D811"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sz w:val="22"/>
          <w:szCs w:val="22"/>
        </w:rPr>
        <w:t xml:space="preserve">Infection prevention </w:t>
      </w:r>
      <w:r w:rsidRPr="00E42DF5">
        <w:rPr>
          <w:rFonts w:ascii="Calibri" w:hAnsi="Calibri" w:cs="Calibri"/>
          <w:b/>
          <w:bCs/>
          <w:sz w:val="22"/>
          <w:szCs w:val="22"/>
        </w:rPr>
        <w:t>audits</w:t>
      </w:r>
      <w:r w:rsidRPr="00E42DF5">
        <w:rPr>
          <w:rFonts w:ascii="Calibri" w:hAnsi="Calibri" w:cs="Calibri"/>
          <w:b/>
          <w:sz w:val="22"/>
          <w:szCs w:val="22"/>
        </w:rPr>
        <w:t xml:space="preserve"> and actions</w:t>
      </w:r>
    </w:p>
    <w:p w14:paraId="6144ED26"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The following internal audits were completed in the past year:</w:t>
      </w:r>
    </w:p>
    <w:p w14:paraId="18CEE379"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Bi-monthly cleaning audit: Completed at each site jointly by the Manager and the external cleaning company’s manager. Any concerns are addressed, with a follow-up audit to confirm that the required standards have been met. Regular communication highlighting concerns are raised via a communication book at each site.</w:t>
      </w:r>
    </w:p>
    <w:p w14:paraId="53F962E9"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 xml:space="preserve"> Annual handwashing audit: Completed by IPC Lead for all staff across all sites. Any concerns are addressed, with a follow-up audit to confirm that the required standards have been met.</w:t>
      </w:r>
    </w:p>
    <w:p w14:paraId="21546933" w14:textId="19EC7B65"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IPC Audits are carried out quarterly. Any concerns are addressed at the IPC meeting.</w:t>
      </w:r>
    </w:p>
    <w:p w14:paraId="6863A20F"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lastRenderedPageBreak/>
        <w:t>IPC risk assessments are undertaken as required to identify infection risks and appropriate measures to minimise those risks.</w:t>
      </w:r>
    </w:p>
    <w:p w14:paraId="63534CA6" w14:textId="77777777" w:rsidR="00662B75" w:rsidRPr="00E42DF5" w:rsidRDefault="00662B75" w:rsidP="00E42DF5">
      <w:pPr>
        <w:spacing w:after="0" w:line="276" w:lineRule="auto"/>
        <w:rPr>
          <w:rFonts w:ascii="Calibri" w:hAnsi="Calibri" w:cs="Calibri"/>
          <w:sz w:val="22"/>
          <w:szCs w:val="22"/>
        </w:rPr>
      </w:pPr>
    </w:p>
    <w:p w14:paraId="466395D6"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sz w:val="22"/>
          <w:szCs w:val="22"/>
        </w:rPr>
        <w:t>Training</w:t>
      </w:r>
    </w:p>
    <w:p w14:paraId="75781233"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All TMG staff receive IPC training at induction and annual refresher training. Staff are also involved in risk assessments and significant event reviews.</w:t>
      </w:r>
    </w:p>
    <w:p w14:paraId="1A5F181B"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Non-clinical staff are assigned Level 1 IPC training, while clinical staff are assigned Level 2 IPC training.</w:t>
      </w:r>
    </w:p>
    <w:p w14:paraId="46046024" w14:textId="77777777" w:rsidR="00662B75" w:rsidRPr="00E42DF5" w:rsidRDefault="00662B75" w:rsidP="00E42DF5">
      <w:pPr>
        <w:spacing w:after="0" w:line="276" w:lineRule="auto"/>
        <w:rPr>
          <w:rFonts w:ascii="Calibri" w:hAnsi="Calibri" w:cs="Calibri"/>
          <w:sz w:val="22"/>
          <w:szCs w:val="22"/>
        </w:rPr>
      </w:pPr>
    </w:p>
    <w:p w14:paraId="3D874197"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sz w:val="22"/>
          <w:szCs w:val="22"/>
        </w:rPr>
        <w:t>Policies and procedures</w:t>
      </w:r>
    </w:p>
    <w:p w14:paraId="08EC09E9"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The infection prevention and control-related policies and procedures that have been written, updated or reviewed in the last year include, but are not limited to:</w:t>
      </w:r>
    </w:p>
    <w:p w14:paraId="6244F121" w14:textId="77777777" w:rsidR="00662B75" w:rsidRPr="00E42DF5" w:rsidRDefault="00662B75" w:rsidP="00E42DF5">
      <w:pPr>
        <w:numPr>
          <w:ilvl w:val="0"/>
          <w:numId w:val="2"/>
        </w:numPr>
        <w:spacing w:after="0" w:line="276" w:lineRule="auto"/>
        <w:rPr>
          <w:rFonts w:ascii="Calibri" w:hAnsi="Calibri" w:cs="Calibri"/>
          <w:sz w:val="22"/>
          <w:szCs w:val="22"/>
        </w:rPr>
      </w:pPr>
      <w:r w:rsidRPr="00E42DF5">
        <w:rPr>
          <w:rFonts w:ascii="Calibri" w:hAnsi="Calibri" w:cs="Calibri"/>
          <w:sz w:val="22"/>
          <w:szCs w:val="22"/>
        </w:rPr>
        <w:t>Infection Control Policy</w:t>
      </w:r>
    </w:p>
    <w:p w14:paraId="09E375C1" w14:textId="77777777" w:rsidR="00662B75" w:rsidRPr="00E42DF5" w:rsidRDefault="00662B75" w:rsidP="00E42DF5">
      <w:pPr>
        <w:numPr>
          <w:ilvl w:val="0"/>
          <w:numId w:val="2"/>
        </w:numPr>
        <w:spacing w:after="0" w:line="276" w:lineRule="auto"/>
        <w:rPr>
          <w:rFonts w:ascii="Calibri" w:hAnsi="Calibri" w:cs="Calibri"/>
          <w:sz w:val="22"/>
          <w:szCs w:val="22"/>
        </w:rPr>
      </w:pPr>
      <w:r w:rsidRPr="00E42DF5">
        <w:rPr>
          <w:rFonts w:ascii="Calibri" w:hAnsi="Calibri" w:cs="Calibri"/>
          <w:sz w:val="22"/>
          <w:szCs w:val="22"/>
        </w:rPr>
        <w:t>Cleaning Standards and Schedule Policy</w:t>
      </w:r>
    </w:p>
    <w:p w14:paraId="76291CC4"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Policies relating to infection prevention and control are available to all staff and are reviewed and updated annually. Additionally, all policies are amended on an ongoing basis as per current advice, guidance and legislation changes. </w:t>
      </w:r>
    </w:p>
    <w:p w14:paraId="7A59AEC8" w14:textId="77777777" w:rsidR="00662B75" w:rsidRPr="00E42DF5" w:rsidRDefault="00662B75" w:rsidP="00E42DF5">
      <w:pPr>
        <w:spacing w:after="0" w:line="276" w:lineRule="auto"/>
        <w:rPr>
          <w:rFonts w:ascii="Calibri" w:hAnsi="Calibri" w:cs="Calibri"/>
          <w:sz w:val="22"/>
          <w:szCs w:val="22"/>
        </w:rPr>
      </w:pPr>
    </w:p>
    <w:p w14:paraId="22417920"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bCs/>
          <w:sz w:val="22"/>
          <w:szCs w:val="22"/>
        </w:rPr>
        <w:t>Responsibility</w:t>
      </w:r>
    </w:p>
    <w:p w14:paraId="44D08615"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It is the responsibility of all staff members at TMG to be familiar with this statement and their roles and responsibilities under it. </w:t>
      </w:r>
    </w:p>
    <w:p w14:paraId="0EB4BC15"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bCs/>
          <w:sz w:val="22"/>
          <w:szCs w:val="22"/>
        </w:rPr>
        <w:t>Review</w:t>
      </w:r>
    </w:p>
    <w:p w14:paraId="46A02D0C"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The IPC Lead and TMG Governance Team are responsible for reviewing and producing the annual statement.</w:t>
      </w:r>
    </w:p>
    <w:p w14:paraId="09ED00C7"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This annual statement will be updated on or before 30</w:t>
      </w:r>
      <w:r w:rsidRPr="00E42DF5">
        <w:rPr>
          <w:rFonts w:ascii="Calibri" w:hAnsi="Calibri" w:cs="Calibri"/>
          <w:sz w:val="22"/>
          <w:szCs w:val="22"/>
          <w:vertAlign w:val="superscript"/>
        </w:rPr>
        <w:t>th</w:t>
      </w:r>
      <w:r w:rsidRPr="00E42DF5">
        <w:rPr>
          <w:rFonts w:ascii="Calibri" w:hAnsi="Calibri" w:cs="Calibri"/>
          <w:sz w:val="22"/>
          <w:szCs w:val="22"/>
        </w:rPr>
        <w:t xml:space="preserve"> September 2027.</w:t>
      </w:r>
    </w:p>
    <w:p w14:paraId="6443767B"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bCs/>
          <w:sz w:val="22"/>
          <w:szCs w:val="22"/>
        </w:rPr>
        <w:t> </w:t>
      </w:r>
    </w:p>
    <w:p w14:paraId="0B2542A0"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b/>
          <w:bCs/>
          <w:sz w:val="22"/>
          <w:szCs w:val="22"/>
        </w:rPr>
        <w:t>Signed by</w:t>
      </w:r>
    </w:p>
    <w:p w14:paraId="2F79A3DB"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Rachel Tanner, Liz Pemberton, Jon Rees, Gemma Harding</w:t>
      </w:r>
    </w:p>
    <w:p w14:paraId="688FD715" w14:textId="77777777" w:rsidR="00662B75" w:rsidRPr="00E42DF5" w:rsidRDefault="00662B75" w:rsidP="00E42DF5">
      <w:pPr>
        <w:spacing w:after="0" w:line="276" w:lineRule="auto"/>
        <w:rPr>
          <w:rFonts w:ascii="Calibri" w:hAnsi="Calibri" w:cs="Calibri"/>
          <w:sz w:val="22"/>
          <w:szCs w:val="22"/>
        </w:rPr>
      </w:pPr>
      <w:r w:rsidRPr="00E42DF5">
        <w:rPr>
          <w:rFonts w:ascii="Calibri" w:hAnsi="Calibri" w:cs="Calibri"/>
          <w:sz w:val="22"/>
          <w:szCs w:val="22"/>
        </w:rPr>
        <w:t>For and on behalf of Tyntesfield Medical Group</w:t>
      </w:r>
    </w:p>
    <w:p w14:paraId="713B2841" w14:textId="77777777" w:rsidR="00662B75" w:rsidRPr="00E42DF5" w:rsidRDefault="00662B75" w:rsidP="00E42DF5">
      <w:pPr>
        <w:spacing w:after="0" w:line="276" w:lineRule="auto"/>
        <w:rPr>
          <w:rFonts w:ascii="Calibri" w:hAnsi="Calibri" w:cs="Calibri"/>
          <w:sz w:val="22"/>
          <w:szCs w:val="22"/>
        </w:rPr>
      </w:pPr>
    </w:p>
    <w:p w14:paraId="5421C0A9" w14:textId="77777777" w:rsidR="00552A80" w:rsidRPr="00E42DF5" w:rsidRDefault="00552A80" w:rsidP="00E42DF5">
      <w:pPr>
        <w:spacing w:after="0" w:line="276" w:lineRule="auto"/>
        <w:rPr>
          <w:rFonts w:ascii="Calibri" w:hAnsi="Calibri" w:cs="Calibri"/>
          <w:sz w:val="22"/>
          <w:szCs w:val="22"/>
        </w:rPr>
      </w:pPr>
    </w:p>
    <w:sectPr w:rsidR="00552A80" w:rsidRPr="00E42DF5" w:rsidSect="00662B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15B15"/>
    <w:multiLevelType w:val="multilevel"/>
    <w:tmpl w:val="FD0C40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560D736E"/>
    <w:multiLevelType w:val="multilevel"/>
    <w:tmpl w:val="0D6683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305596532">
    <w:abstractNumId w:val="0"/>
  </w:num>
  <w:num w:numId="2" w16cid:durableId="901863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B75"/>
    <w:rsid w:val="00270749"/>
    <w:rsid w:val="002B1FCC"/>
    <w:rsid w:val="00552A80"/>
    <w:rsid w:val="00662B75"/>
    <w:rsid w:val="006860DB"/>
    <w:rsid w:val="006F78DD"/>
    <w:rsid w:val="00702081"/>
    <w:rsid w:val="00917DBE"/>
    <w:rsid w:val="00E42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53F89"/>
  <w15:chartTrackingRefBased/>
  <w15:docId w15:val="{C3D5C50C-6B7E-4706-A1BC-1E2F6FB7B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B75"/>
    <w:pPr>
      <w:spacing w:after="160" w:line="278" w:lineRule="auto"/>
    </w:pPr>
    <w:rPr>
      <w:rFonts w:cstheme="minorBidi"/>
      <w:kern w:val="2"/>
      <w:sz w:val="24"/>
      <w:szCs w:val="24"/>
      <w14:ligatures w14:val="standardContextual"/>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F78DD"/>
    <w:pPr>
      <w:spacing w:before="240" w:after="60"/>
      <w:outlineLvl w:val="6"/>
    </w:pPr>
  </w:style>
  <w:style w:type="paragraph" w:styleId="Heading8">
    <w:name w:val="heading 8"/>
    <w:basedOn w:val="Normal"/>
    <w:next w:val="Normal"/>
    <w:link w:val="Heading8Char"/>
    <w:uiPriority w:val="9"/>
    <w:semiHidden/>
    <w:unhideWhenUsed/>
    <w:qFormat/>
    <w:rsid w:val="006F78DD"/>
    <w:pPr>
      <w:spacing w:before="240" w:after="60"/>
      <w:outlineLvl w:val="7"/>
    </w:pPr>
    <w:rPr>
      <w:i/>
      <w:iCs/>
    </w:rPr>
  </w:style>
  <w:style w:type="paragraph" w:styleId="Heading9">
    <w:name w:val="heading 9"/>
    <w:basedOn w:val="Normal"/>
    <w:next w:val="Normal"/>
    <w:link w:val="Heading9Char"/>
    <w:uiPriority w:val="9"/>
    <w:semiHidden/>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F78DD"/>
    <w:rPr>
      <w:b/>
      <w:bCs/>
      <w:sz w:val="28"/>
      <w:szCs w:val="28"/>
    </w:rPr>
  </w:style>
  <w:style w:type="character" w:customStyle="1" w:styleId="Heading5Char">
    <w:name w:val="Heading 5 Char"/>
    <w:basedOn w:val="DefaultParagraphFont"/>
    <w:link w:val="Heading5"/>
    <w:uiPriority w:val="9"/>
    <w:semiHidden/>
    <w:rsid w:val="006F78DD"/>
    <w:rPr>
      <w:b/>
      <w:bCs/>
      <w:i/>
      <w:iCs/>
      <w:sz w:val="26"/>
      <w:szCs w:val="26"/>
    </w:rPr>
  </w:style>
  <w:style w:type="character" w:customStyle="1" w:styleId="Heading6Char">
    <w:name w:val="Heading 6 Char"/>
    <w:basedOn w:val="DefaultParagraphFont"/>
    <w:link w:val="Heading6"/>
    <w:uiPriority w:val="9"/>
    <w:semiHidden/>
    <w:rsid w:val="006F78DD"/>
    <w:rPr>
      <w:b/>
      <w:bCs/>
    </w:rPr>
  </w:style>
  <w:style w:type="character" w:customStyle="1" w:styleId="Heading7Char">
    <w:name w:val="Heading 7 Char"/>
    <w:basedOn w:val="DefaultParagraphFont"/>
    <w:link w:val="Heading7"/>
    <w:uiPriority w:val="9"/>
    <w:semiHidden/>
    <w:rsid w:val="006F78DD"/>
    <w:rPr>
      <w:sz w:val="24"/>
      <w:szCs w:val="24"/>
    </w:rPr>
  </w:style>
  <w:style w:type="character" w:customStyle="1" w:styleId="Heading8Char">
    <w:name w:val="Heading 8 Char"/>
    <w:basedOn w:val="DefaultParagraphFont"/>
    <w:link w:val="Heading8"/>
    <w:uiPriority w:val="9"/>
    <w:semiHidden/>
    <w:rsid w:val="006F78DD"/>
    <w:rPr>
      <w:i/>
      <w:iCs/>
      <w:sz w:val="24"/>
      <w:szCs w:val="24"/>
    </w:rPr>
  </w:style>
  <w:style w:type="character" w:customStyle="1" w:styleId="Heading9Char">
    <w:name w:val="Heading 9 Char"/>
    <w:basedOn w:val="DefaultParagraphFont"/>
    <w:link w:val="Heading9"/>
    <w:uiPriority w:val="9"/>
    <w:semiHidden/>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 w:type="character" w:styleId="Hyperlink">
    <w:name w:val="Hyperlink"/>
    <w:basedOn w:val="DefaultParagraphFont"/>
    <w:uiPriority w:val="99"/>
    <w:unhideWhenUsed/>
    <w:rsid w:val="00662B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overnment/publications/the-health-and-social-care-act-2008-code-of-practice-on-the-prevention-and-control-of-infections-and-related-guida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597</Words>
  <Characters>3439</Characters>
  <Application>Microsoft Office Word</Application>
  <DocSecurity>0</DocSecurity>
  <Lines>78</Lines>
  <Paragraphs>49</Paragraphs>
  <ScaleCrop>false</ScaleCrop>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ROACH, Phillippa (TYNTESFIELD MEDICAL GROUP)</dc:creator>
  <cp:keywords/>
  <dc:description/>
  <cp:lastModifiedBy>HARDING, Thomas (TYNTESFIELD MEDICAL GROUP)</cp:lastModifiedBy>
  <cp:revision>2</cp:revision>
  <dcterms:created xsi:type="dcterms:W3CDTF">2026-11-02T14:00:00Z</dcterms:created>
  <dcterms:modified xsi:type="dcterms:W3CDTF">2026-11-02T14:00:00Z</dcterms:modified>
</cp:coreProperties>
</file>