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29ADF" w14:textId="5073E892" w:rsidR="009A7FA5" w:rsidRPr="0044111B" w:rsidRDefault="009A7FA5">
      <w:pPr>
        <w:rPr>
          <w:b/>
          <w:bCs/>
        </w:rPr>
      </w:pPr>
      <w:r w:rsidRPr="0044111B">
        <w:rPr>
          <w:b/>
          <w:bCs/>
        </w:rPr>
        <w:t>MINUTES OF PPG MEETING</w:t>
      </w:r>
      <w:r w:rsidRPr="0044111B">
        <w:rPr>
          <w:b/>
          <w:bCs/>
        </w:rPr>
        <w:tab/>
      </w:r>
      <w:r w:rsidR="00F74A72">
        <w:rPr>
          <w:b/>
          <w:bCs/>
        </w:rPr>
        <w:t>2</w:t>
      </w:r>
      <w:r w:rsidR="00A273EA">
        <w:rPr>
          <w:b/>
          <w:bCs/>
        </w:rPr>
        <w:t>2</w:t>
      </w:r>
      <w:r w:rsidR="00F74A72">
        <w:rPr>
          <w:b/>
          <w:bCs/>
        </w:rPr>
        <w:t>-</w:t>
      </w:r>
      <w:r w:rsidR="00A273EA">
        <w:rPr>
          <w:b/>
          <w:bCs/>
        </w:rPr>
        <w:t>1</w:t>
      </w:r>
      <w:r w:rsidR="00F74A72">
        <w:rPr>
          <w:b/>
          <w:bCs/>
        </w:rPr>
        <w:t>0-24</w:t>
      </w:r>
      <w:r w:rsidRPr="0044111B">
        <w:rPr>
          <w:b/>
          <w:bCs/>
        </w:rPr>
        <w:tab/>
        <w:t xml:space="preserve">VENUE: </w:t>
      </w:r>
      <w:r w:rsidR="00A273EA">
        <w:rPr>
          <w:b/>
          <w:bCs/>
        </w:rPr>
        <w:t>Number 65</w:t>
      </w:r>
      <w:r w:rsidR="00BF0377">
        <w:rPr>
          <w:b/>
          <w:bCs/>
        </w:rPr>
        <w:t>.</w:t>
      </w:r>
    </w:p>
    <w:p w14:paraId="0496857E" w14:textId="218271F5" w:rsidR="009A7FA5" w:rsidRPr="0044111B" w:rsidRDefault="009A7FA5">
      <w:pPr>
        <w:rPr>
          <w:b/>
          <w:bCs/>
        </w:rPr>
      </w:pPr>
      <w:r w:rsidRPr="0044111B">
        <w:rPr>
          <w:b/>
          <w:bCs/>
        </w:rPr>
        <w:t>PPG Members</w:t>
      </w:r>
      <w:r w:rsidR="00F74A72">
        <w:rPr>
          <w:b/>
          <w:bCs/>
        </w:rPr>
        <w:t xml:space="preserve"> Present</w:t>
      </w:r>
    </w:p>
    <w:tbl>
      <w:tblPr>
        <w:tblStyle w:val="TableGrid"/>
        <w:tblW w:w="10485" w:type="dxa"/>
        <w:tblLook w:val="04A0" w:firstRow="1" w:lastRow="0" w:firstColumn="1" w:lastColumn="0" w:noHBand="0" w:noVBand="1"/>
      </w:tblPr>
      <w:tblGrid>
        <w:gridCol w:w="5098"/>
        <w:gridCol w:w="5387"/>
      </w:tblGrid>
      <w:tr w:rsidR="0044111B" w14:paraId="1F46B9F9" w14:textId="77777777" w:rsidTr="0044111B">
        <w:tc>
          <w:tcPr>
            <w:tcW w:w="5098" w:type="dxa"/>
          </w:tcPr>
          <w:p w14:paraId="43106C3C" w14:textId="4D19B53B" w:rsidR="0044111B" w:rsidRDefault="009E5DF6" w:rsidP="0044111B">
            <w:pPr>
              <w:spacing w:line="360" w:lineRule="auto"/>
            </w:pPr>
            <w:r>
              <w:t>RR</w:t>
            </w:r>
            <w:r w:rsidR="0044111B">
              <w:t xml:space="preserve"> (Chair)</w:t>
            </w:r>
          </w:p>
        </w:tc>
        <w:tc>
          <w:tcPr>
            <w:tcW w:w="5387" w:type="dxa"/>
          </w:tcPr>
          <w:p w14:paraId="08D645F7" w14:textId="27E73EDF" w:rsidR="0044111B" w:rsidRDefault="009E5DF6" w:rsidP="0044111B">
            <w:pPr>
              <w:spacing w:line="360" w:lineRule="auto"/>
            </w:pPr>
            <w:r>
              <w:t>TM</w:t>
            </w:r>
            <w:r w:rsidR="0044111B">
              <w:t xml:space="preserve"> (vice-chair 2)</w:t>
            </w:r>
            <w:r w:rsidR="0069347B">
              <w:t xml:space="preserve">        </w:t>
            </w:r>
          </w:p>
        </w:tc>
      </w:tr>
      <w:tr w:rsidR="0044111B" w14:paraId="516E1CBA" w14:textId="77777777" w:rsidTr="0044111B">
        <w:tc>
          <w:tcPr>
            <w:tcW w:w="5098" w:type="dxa"/>
          </w:tcPr>
          <w:p w14:paraId="7759437F" w14:textId="0F27A0AC" w:rsidR="0044111B" w:rsidRPr="0044111B" w:rsidRDefault="009E5DF6" w:rsidP="0044111B">
            <w:pPr>
              <w:spacing w:line="360" w:lineRule="auto"/>
              <w:rPr>
                <w:b/>
                <w:bCs/>
              </w:rPr>
            </w:pPr>
            <w:r>
              <w:t>DT</w:t>
            </w:r>
            <w:r w:rsidR="0044111B">
              <w:t xml:space="preserve"> (Vice Chair)</w:t>
            </w:r>
          </w:p>
        </w:tc>
        <w:tc>
          <w:tcPr>
            <w:tcW w:w="5387" w:type="dxa"/>
          </w:tcPr>
          <w:p w14:paraId="4C04062F" w14:textId="775CF09C" w:rsidR="0044111B" w:rsidRDefault="009E5DF6" w:rsidP="0044111B">
            <w:pPr>
              <w:spacing w:line="360" w:lineRule="auto"/>
            </w:pPr>
            <w:r>
              <w:t>BH</w:t>
            </w:r>
            <w:r w:rsidR="0044111B">
              <w:t xml:space="preserve"> (secretary)</w:t>
            </w:r>
            <w:r w:rsidR="009515C3">
              <w:t xml:space="preserve"> </w:t>
            </w:r>
          </w:p>
        </w:tc>
      </w:tr>
      <w:tr w:rsidR="0044111B" w14:paraId="0B5C1B14" w14:textId="77777777" w:rsidTr="0044111B">
        <w:tc>
          <w:tcPr>
            <w:tcW w:w="5098" w:type="dxa"/>
          </w:tcPr>
          <w:p w14:paraId="0850FBBE" w14:textId="3CB98F46" w:rsidR="0044111B" w:rsidRDefault="009E5DF6" w:rsidP="0044111B">
            <w:pPr>
              <w:spacing w:line="360" w:lineRule="auto"/>
            </w:pPr>
            <w:r>
              <w:t>RER</w:t>
            </w:r>
            <w:r w:rsidR="0044111B">
              <w:t xml:space="preserve"> (Treasurer)</w:t>
            </w:r>
          </w:p>
        </w:tc>
        <w:tc>
          <w:tcPr>
            <w:tcW w:w="5387" w:type="dxa"/>
          </w:tcPr>
          <w:p w14:paraId="2B0574BC" w14:textId="1B20B3E6" w:rsidR="0044111B" w:rsidRDefault="009515C3" w:rsidP="0044111B">
            <w:pPr>
              <w:spacing w:line="360" w:lineRule="auto"/>
            </w:pPr>
            <w:r>
              <w:t>HW</w:t>
            </w:r>
            <w:r w:rsidR="00A273EA">
              <w:t xml:space="preserve">                  Apologies</w:t>
            </w:r>
          </w:p>
        </w:tc>
      </w:tr>
      <w:tr w:rsidR="0044111B" w14:paraId="651DB11A" w14:textId="77777777" w:rsidTr="0044111B">
        <w:tc>
          <w:tcPr>
            <w:tcW w:w="5098" w:type="dxa"/>
          </w:tcPr>
          <w:p w14:paraId="67878C61" w14:textId="43CF212B" w:rsidR="0044111B" w:rsidRDefault="009E5DF6" w:rsidP="0044111B">
            <w:pPr>
              <w:spacing w:line="360" w:lineRule="auto"/>
            </w:pPr>
            <w:r>
              <w:t>JW</w:t>
            </w:r>
            <w:r w:rsidR="0044111B">
              <w:t xml:space="preserve">                       </w:t>
            </w:r>
            <w:r w:rsidR="0044111B" w:rsidRPr="00A273EA">
              <w:t>Apologies</w:t>
            </w:r>
          </w:p>
        </w:tc>
        <w:tc>
          <w:tcPr>
            <w:tcW w:w="5387" w:type="dxa"/>
          </w:tcPr>
          <w:p w14:paraId="57D36D87" w14:textId="72C85FD7" w:rsidR="0044111B" w:rsidRDefault="009515C3" w:rsidP="0044111B">
            <w:pPr>
              <w:spacing w:line="360" w:lineRule="auto"/>
            </w:pPr>
            <w:r>
              <w:t>JR</w:t>
            </w:r>
          </w:p>
        </w:tc>
      </w:tr>
      <w:tr w:rsidR="0044111B" w14:paraId="18C95F13" w14:textId="77777777" w:rsidTr="0044111B">
        <w:tc>
          <w:tcPr>
            <w:tcW w:w="5098" w:type="dxa"/>
          </w:tcPr>
          <w:p w14:paraId="3F202336" w14:textId="7F712D65" w:rsidR="0044111B" w:rsidRDefault="004B2D65" w:rsidP="0044111B">
            <w:pPr>
              <w:spacing w:line="360" w:lineRule="auto"/>
            </w:pPr>
            <w:r>
              <w:t>PR</w:t>
            </w:r>
            <w:r w:rsidR="009515C3" w:rsidRPr="009515C3">
              <w:t xml:space="preserve"> (TMG)</w:t>
            </w:r>
          </w:p>
        </w:tc>
        <w:tc>
          <w:tcPr>
            <w:tcW w:w="5387" w:type="dxa"/>
          </w:tcPr>
          <w:p w14:paraId="76B1A9BB" w14:textId="2620B8B6" w:rsidR="0044111B" w:rsidRPr="004B2D65" w:rsidRDefault="009515C3" w:rsidP="0044111B">
            <w:pPr>
              <w:spacing w:line="360" w:lineRule="auto"/>
              <w:rPr>
                <w:b/>
                <w:bCs/>
              </w:rPr>
            </w:pPr>
            <w:r>
              <w:t>BR</w:t>
            </w:r>
            <w:r w:rsidR="004B2D65">
              <w:t xml:space="preserve">                       </w:t>
            </w:r>
          </w:p>
        </w:tc>
      </w:tr>
      <w:tr w:rsidR="0044111B" w14:paraId="003117A9" w14:textId="77777777" w:rsidTr="0044111B">
        <w:tc>
          <w:tcPr>
            <w:tcW w:w="5098" w:type="dxa"/>
          </w:tcPr>
          <w:p w14:paraId="0051245D" w14:textId="46C16A42" w:rsidR="0044111B" w:rsidRDefault="009515C3" w:rsidP="0044111B">
            <w:pPr>
              <w:spacing w:line="360" w:lineRule="auto"/>
            </w:pPr>
            <w:r w:rsidRPr="009515C3">
              <w:t xml:space="preserve">AW                     </w:t>
            </w:r>
            <w:r w:rsidR="00A273EA">
              <w:t>Apologies</w:t>
            </w:r>
          </w:p>
        </w:tc>
        <w:tc>
          <w:tcPr>
            <w:tcW w:w="5387" w:type="dxa"/>
          </w:tcPr>
          <w:p w14:paraId="69370E6B" w14:textId="5086C223" w:rsidR="0044111B" w:rsidRPr="009515C3" w:rsidRDefault="009515C3" w:rsidP="0044111B">
            <w:pPr>
              <w:spacing w:line="360" w:lineRule="auto"/>
            </w:pPr>
            <w:r w:rsidRPr="009515C3">
              <w:t>MC</w:t>
            </w:r>
            <w:r w:rsidRPr="009515C3">
              <w:rPr>
                <w:b/>
                <w:bCs/>
              </w:rPr>
              <w:t xml:space="preserve"> </w:t>
            </w:r>
            <w:r>
              <w:rPr>
                <w:b/>
                <w:bCs/>
              </w:rPr>
              <w:t xml:space="preserve">                        </w:t>
            </w:r>
          </w:p>
        </w:tc>
      </w:tr>
      <w:tr w:rsidR="009515C3" w14:paraId="31C3EFD9" w14:textId="77777777" w:rsidTr="0044111B">
        <w:tc>
          <w:tcPr>
            <w:tcW w:w="5098" w:type="dxa"/>
          </w:tcPr>
          <w:p w14:paraId="76655A60" w14:textId="7C3835F3" w:rsidR="009515C3" w:rsidRDefault="009515C3" w:rsidP="009515C3">
            <w:pPr>
              <w:spacing w:line="360" w:lineRule="auto"/>
            </w:pPr>
            <w:r w:rsidRPr="009515C3">
              <w:t xml:space="preserve">MW                     </w:t>
            </w:r>
            <w:r w:rsidR="004B2D65" w:rsidRPr="00A273EA">
              <w:t>Apologies</w:t>
            </w:r>
            <w:r w:rsidRPr="00A273EA">
              <w:t xml:space="preserve">   </w:t>
            </w:r>
          </w:p>
        </w:tc>
        <w:tc>
          <w:tcPr>
            <w:tcW w:w="5387" w:type="dxa"/>
          </w:tcPr>
          <w:p w14:paraId="718FB948" w14:textId="21142382" w:rsidR="009515C3" w:rsidRDefault="009515C3" w:rsidP="009515C3">
            <w:pPr>
              <w:spacing w:line="360" w:lineRule="auto"/>
            </w:pPr>
            <w:r>
              <w:t>PN</w:t>
            </w:r>
          </w:p>
        </w:tc>
      </w:tr>
      <w:tr w:rsidR="009515C3" w14:paraId="06343CA6" w14:textId="77777777" w:rsidTr="0044111B">
        <w:tc>
          <w:tcPr>
            <w:tcW w:w="5098" w:type="dxa"/>
          </w:tcPr>
          <w:p w14:paraId="65CA6958" w14:textId="77777777" w:rsidR="009515C3" w:rsidRDefault="00D61874" w:rsidP="009515C3">
            <w:pPr>
              <w:spacing w:line="360" w:lineRule="auto"/>
            </w:pPr>
            <w:r>
              <w:t xml:space="preserve">MK                       </w:t>
            </w:r>
          </w:p>
          <w:p w14:paraId="185C5274" w14:textId="137AA87C" w:rsidR="00A273EA" w:rsidRPr="00B134F4" w:rsidRDefault="00A273EA" w:rsidP="009515C3">
            <w:pPr>
              <w:spacing w:line="360" w:lineRule="auto"/>
              <w:rPr>
                <w:b/>
                <w:bCs/>
              </w:rPr>
            </w:pPr>
            <w:r>
              <w:t>Jo</w:t>
            </w:r>
          </w:p>
        </w:tc>
        <w:tc>
          <w:tcPr>
            <w:tcW w:w="5387" w:type="dxa"/>
          </w:tcPr>
          <w:p w14:paraId="621CCEBE" w14:textId="505AD2F1" w:rsidR="009515C3" w:rsidRPr="006B68D4" w:rsidRDefault="006B68D4" w:rsidP="009515C3">
            <w:pPr>
              <w:spacing w:line="360" w:lineRule="auto"/>
              <w:rPr>
                <w:b/>
                <w:bCs/>
              </w:rPr>
            </w:pPr>
            <w:r>
              <w:t xml:space="preserve">SP                     </w:t>
            </w:r>
          </w:p>
        </w:tc>
      </w:tr>
      <w:tr w:rsidR="00D61874" w14:paraId="40D1F622" w14:textId="77777777" w:rsidTr="0044111B">
        <w:tc>
          <w:tcPr>
            <w:tcW w:w="5098" w:type="dxa"/>
          </w:tcPr>
          <w:p w14:paraId="10E673BC" w14:textId="4EA90529" w:rsidR="00D61874" w:rsidRPr="00D61874" w:rsidRDefault="00D61874" w:rsidP="009515C3">
            <w:pPr>
              <w:spacing w:line="360" w:lineRule="auto"/>
              <w:rPr>
                <w:b/>
                <w:bCs/>
              </w:rPr>
            </w:pPr>
            <w:r>
              <w:t xml:space="preserve">CBJ                      </w:t>
            </w:r>
          </w:p>
        </w:tc>
        <w:tc>
          <w:tcPr>
            <w:tcW w:w="5387" w:type="dxa"/>
          </w:tcPr>
          <w:p w14:paraId="73F2B335" w14:textId="71D27405" w:rsidR="00D61874" w:rsidRPr="00A273EA" w:rsidRDefault="004B2D65" w:rsidP="009515C3">
            <w:pPr>
              <w:spacing w:line="360" w:lineRule="auto"/>
            </w:pPr>
            <w:r w:rsidRPr="00A273EA">
              <w:t>PP                    Apologies</w:t>
            </w:r>
          </w:p>
        </w:tc>
      </w:tr>
      <w:tr w:rsidR="00D61874" w14:paraId="0293C79B" w14:textId="77777777" w:rsidTr="0044111B">
        <w:tc>
          <w:tcPr>
            <w:tcW w:w="5098" w:type="dxa"/>
          </w:tcPr>
          <w:p w14:paraId="51DC562F" w14:textId="27C216D4" w:rsidR="00D61874" w:rsidRPr="004B2D65" w:rsidRDefault="00D61874" w:rsidP="009515C3">
            <w:pPr>
              <w:spacing w:line="360" w:lineRule="auto"/>
              <w:rPr>
                <w:b/>
                <w:bCs/>
              </w:rPr>
            </w:pPr>
            <w:r w:rsidRPr="00D61874">
              <w:t>HO (Associate member, Wellbeing Officer, Nailsea Town Council)</w:t>
            </w:r>
            <w:r w:rsidRPr="00D61874">
              <w:tab/>
            </w:r>
          </w:p>
        </w:tc>
        <w:tc>
          <w:tcPr>
            <w:tcW w:w="5387" w:type="dxa"/>
          </w:tcPr>
          <w:p w14:paraId="0CE32F21" w14:textId="7A32C559" w:rsidR="00D61874" w:rsidRDefault="00D61874" w:rsidP="009515C3">
            <w:pPr>
              <w:spacing w:line="360" w:lineRule="auto"/>
            </w:pPr>
            <w:r w:rsidRPr="00D61874">
              <w:t xml:space="preserve">Dr </w:t>
            </w:r>
            <w:r w:rsidR="00A273EA">
              <w:t>RM (</w:t>
            </w:r>
            <w:r w:rsidRPr="00D61874">
              <w:t>Partner TMG)</w:t>
            </w:r>
          </w:p>
        </w:tc>
      </w:tr>
    </w:tbl>
    <w:p w14:paraId="7F86A210" w14:textId="77777777" w:rsidR="009A7FA5" w:rsidRDefault="009A7FA5"/>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254724">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21B8A2CF" w14:textId="77777777" w:rsidR="009515C3" w:rsidRPr="003E7CCC" w:rsidRDefault="00EE3A38" w:rsidP="009515C3">
            <w:pPr>
              <w:spacing w:after="160" w:line="259" w:lineRule="auto"/>
              <w:rPr>
                <w:b/>
                <w:bCs/>
              </w:rPr>
            </w:pPr>
            <w:r w:rsidRPr="003E7CCC">
              <w:rPr>
                <w:b/>
                <w:bCs/>
              </w:rPr>
              <w:t>Membership and Attendance</w:t>
            </w:r>
          </w:p>
          <w:p w14:paraId="5924A6E0" w14:textId="48DC7E7E" w:rsidR="00EE3A38" w:rsidRDefault="00EE3A38" w:rsidP="00EE3A38">
            <w:r w:rsidRPr="00EE3A38">
              <w:t>Apologies and those not present: See list above</w:t>
            </w:r>
            <w:r w:rsidR="00720268">
              <w:t>.</w:t>
            </w:r>
          </w:p>
          <w:p w14:paraId="1EF7973E" w14:textId="658EFBC9" w:rsidR="003E7CCC" w:rsidRPr="009515C3" w:rsidRDefault="00EE3A38" w:rsidP="00C423BD">
            <w:r w:rsidRPr="00EE3A38">
              <w:t xml:space="preserve">We welcomed Dr </w:t>
            </w:r>
            <w:r w:rsidR="00A273EA">
              <w:t>Rachel McGivern</w:t>
            </w:r>
            <w:r w:rsidRPr="00EE3A38">
              <w:t>, Partner</w:t>
            </w:r>
            <w:r w:rsidR="004B2D65">
              <w:t xml:space="preserve">, </w:t>
            </w:r>
            <w:r w:rsidR="00A273EA">
              <w:t>Backwell Medical Centre</w:t>
            </w:r>
            <w:r w:rsidR="000E5114">
              <w:t>. Also welcomed Joseph Kirkland, previous member on PPG</w:t>
            </w:r>
          </w:p>
        </w:tc>
      </w:tr>
      <w:tr w:rsidR="009515C3" w:rsidRPr="009515C3" w14:paraId="24B5A04A" w14:textId="77777777" w:rsidTr="00254724">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77777777" w:rsidR="00EE3A38" w:rsidRPr="00EE3A38" w:rsidRDefault="00EE3A38" w:rsidP="00EE3A38">
            <w:pPr>
              <w:rPr>
                <w:b/>
                <w:bCs/>
              </w:rPr>
            </w:pPr>
            <w:r w:rsidRPr="00EE3A38">
              <w:rPr>
                <w:b/>
                <w:bCs/>
              </w:rPr>
              <w:t>Minutes from previous meeting</w:t>
            </w:r>
          </w:p>
          <w:p w14:paraId="6DD113F6" w14:textId="58601D3A" w:rsidR="003E7CCC" w:rsidRDefault="002672B2" w:rsidP="00EE3A38">
            <w:r>
              <w:t>Taken as read.</w:t>
            </w:r>
          </w:p>
          <w:p w14:paraId="2205304F" w14:textId="603D96E4" w:rsidR="002672B2" w:rsidRDefault="002672B2" w:rsidP="00EE3A38">
            <w:r>
              <w:t>Matters Outstanding:</w:t>
            </w:r>
          </w:p>
          <w:p w14:paraId="3E106EC9" w14:textId="77777777" w:rsidR="003E7CCC" w:rsidRDefault="002672B2" w:rsidP="002672B2">
            <w:pPr>
              <w:pStyle w:val="ListParagraph"/>
              <w:numPr>
                <w:ilvl w:val="0"/>
                <w:numId w:val="20"/>
              </w:numPr>
            </w:pPr>
            <w:proofErr w:type="gramStart"/>
            <w:r>
              <w:t>Schools</w:t>
            </w:r>
            <w:proofErr w:type="gramEnd"/>
            <w:r>
              <w:t xml:space="preserve"> liaison (PR) ongoing</w:t>
            </w:r>
          </w:p>
          <w:p w14:paraId="07DF9E75" w14:textId="77777777" w:rsidR="002672B2" w:rsidRDefault="002672B2" w:rsidP="002672B2">
            <w:pPr>
              <w:pStyle w:val="ListParagraph"/>
              <w:numPr>
                <w:ilvl w:val="0"/>
                <w:numId w:val="20"/>
              </w:numPr>
            </w:pPr>
            <w:r>
              <w:t xml:space="preserve">Screen in Backwell </w:t>
            </w:r>
            <w:proofErr w:type="gramStart"/>
            <w:r>
              <w:t>surgery(</w:t>
            </w:r>
            <w:proofErr w:type="gramEnd"/>
            <w:r>
              <w:t>PR) to be progressed</w:t>
            </w:r>
          </w:p>
          <w:p w14:paraId="2D25F85C" w14:textId="545A36E2" w:rsidR="002672B2" w:rsidRPr="009515C3" w:rsidRDefault="002672B2" w:rsidP="002672B2">
            <w:pPr>
              <w:pStyle w:val="ListParagraph"/>
              <w:numPr>
                <w:ilvl w:val="0"/>
                <w:numId w:val="20"/>
              </w:numPr>
            </w:pPr>
            <w:r>
              <w:t>Transport issues. RR resolved</w:t>
            </w:r>
          </w:p>
        </w:tc>
      </w:tr>
      <w:tr w:rsidR="009515C3" w:rsidRPr="009515C3" w14:paraId="60EE72E9" w14:textId="77777777" w:rsidTr="00254724">
        <w:tc>
          <w:tcPr>
            <w:tcW w:w="392" w:type="dxa"/>
          </w:tcPr>
          <w:p w14:paraId="66D2F991" w14:textId="77777777" w:rsidR="009515C3" w:rsidRPr="009515C3" w:rsidRDefault="009515C3" w:rsidP="009515C3">
            <w:pPr>
              <w:spacing w:after="160" w:line="259" w:lineRule="auto"/>
            </w:pPr>
            <w:r w:rsidRPr="009515C3">
              <w:t>3</w:t>
            </w:r>
          </w:p>
        </w:tc>
        <w:tc>
          <w:tcPr>
            <w:tcW w:w="10093" w:type="dxa"/>
          </w:tcPr>
          <w:p w14:paraId="477A63D2" w14:textId="77777777" w:rsidR="00EE3A38" w:rsidRDefault="00EE3A38" w:rsidP="00EE3A38">
            <w:pPr>
              <w:rPr>
                <w:b/>
                <w:bCs/>
              </w:rPr>
            </w:pPr>
            <w:r w:rsidRPr="00EE3A38">
              <w:rPr>
                <w:b/>
                <w:bCs/>
              </w:rPr>
              <w:t>Treasurers Report.</w:t>
            </w:r>
          </w:p>
          <w:p w14:paraId="3D543BA4" w14:textId="63BCE855" w:rsidR="00EE3A38" w:rsidRPr="00EE3A38" w:rsidRDefault="00EE3A38" w:rsidP="00EE3A38">
            <w:r w:rsidRPr="00EE3A38">
              <w:t>Account Balance:</w:t>
            </w:r>
            <w:r w:rsidR="003E7CCC">
              <w:t xml:space="preserve"> </w:t>
            </w:r>
            <w:r w:rsidR="005006BA">
              <w:t>£</w:t>
            </w:r>
            <w:r w:rsidR="002672B2">
              <w:t>1366.65</w:t>
            </w:r>
          </w:p>
          <w:p w14:paraId="6380DFF0" w14:textId="184EF0AA" w:rsidR="00EE3A38" w:rsidRPr="00EE3A38" w:rsidRDefault="00EE3A38" w:rsidP="00EE3A38">
            <w:r w:rsidRPr="00EE3A38">
              <w:t>Designated funds</w:t>
            </w:r>
            <w:r w:rsidR="003E7CCC">
              <w:t>:</w:t>
            </w:r>
            <w:r w:rsidRPr="00EE3A38">
              <w:t xml:space="preserve"> £</w:t>
            </w:r>
            <w:r w:rsidR="002672B2">
              <w:t>1172.51</w:t>
            </w:r>
          </w:p>
          <w:p w14:paraId="23227447" w14:textId="75464D7A" w:rsidR="009515C3" w:rsidRDefault="00EE3A38" w:rsidP="007B401F">
            <w:r w:rsidRPr="00EE3A38">
              <w:t>Non designated funds</w:t>
            </w:r>
            <w:r w:rsidR="003E7CCC">
              <w:t xml:space="preserve">: </w:t>
            </w:r>
            <w:r w:rsidRPr="00EE3A38">
              <w:t xml:space="preserve"> £</w:t>
            </w:r>
            <w:r w:rsidR="002672B2">
              <w:t>194.14.</w:t>
            </w:r>
          </w:p>
          <w:p w14:paraId="06B29505" w14:textId="7A00F51A" w:rsidR="002672B2" w:rsidRDefault="002672B2" w:rsidP="007B401F">
            <w:r>
              <w:t>NDF depleted by work on suggestion boxes and display but as there are now no room hire costs, this should be adequate.</w:t>
            </w:r>
          </w:p>
          <w:p w14:paraId="3B8DDFAC" w14:textId="7D6DC582" w:rsidR="002672B2" w:rsidRDefault="002672B2" w:rsidP="007B401F">
            <w:r>
              <w:t xml:space="preserve">End of year accounts: PR reported that TMG accounts person should return in time to sign off the </w:t>
            </w:r>
            <w:proofErr w:type="gramStart"/>
            <w:r>
              <w:t>Accounts;</w:t>
            </w:r>
            <w:proofErr w:type="gramEnd"/>
            <w:r>
              <w:t xml:space="preserve"> if not then TMG would ask their accountancy company to complete</w:t>
            </w:r>
          </w:p>
          <w:p w14:paraId="46BD22D7" w14:textId="4226CEB4" w:rsidR="003F5337" w:rsidRPr="009515C3" w:rsidRDefault="003F5337" w:rsidP="007B401F"/>
        </w:tc>
      </w:tr>
      <w:tr w:rsidR="009515C3" w:rsidRPr="009515C3" w14:paraId="02598A30" w14:textId="77777777" w:rsidTr="00254724">
        <w:tc>
          <w:tcPr>
            <w:tcW w:w="392" w:type="dxa"/>
          </w:tcPr>
          <w:p w14:paraId="36BB488F" w14:textId="77777777" w:rsidR="009515C3" w:rsidRPr="009515C3" w:rsidRDefault="009515C3" w:rsidP="009515C3">
            <w:pPr>
              <w:spacing w:after="160" w:line="259" w:lineRule="auto"/>
            </w:pPr>
            <w:r w:rsidRPr="009515C3">
              <w:t>4</w:t>
            </w:r>
          </w:p>
        </w:tc>
        <w:tc>
          <w:tcPr>
            <w:tcW w:w="10093" w:type="dxa"/>
          </w:tcPr>
          <w:p w14:paraId="697A0833" w14:textId="77777777" w:rsidR="00EE3A38" w:rsidRPr="00EE3A38" w:rsidRDefault="00EE3A38" w:rsidP="00EE3A38">
            <w:pPr>
              <w:rPr>
                <w:b/>
                <w:bCs/>
              </w:rPr>
            </w:pPr>
            <w:r w:rsidRPr="00EE3A38">
              <w:rPr>
                <w:b/>
                <w:bCs/>
              </w:rPr>
              <w:t>TMG Input</w:t>
            </w:r>
          </w:p>
          <w:p w14:paraId="31DAF181" w14:textId="169F24DA" w:rsidR="003E7CCC" w:rsidRDefault="005006BA" w:rsidP="00EE3A38">
            <w:r>
              <w:t xml:space="preserve">Dr </w:t>
            </w:r>
            <w:r w:rsidR="002672B2">
              <w:t xml:space="preserve">McGivern has been a GP for 10 years at Backwell and is now a partner there, sitting on the </w:t>
            </w:r>
          </w:p>
          <w:p w14:paraId="70595C94" w14:textId="20EEE87D" w:rsidR="00C10570" w:rsidRDefault="002672B2" w:rsidP="00EE3A38">
            <w:r>
              <w:t>Executive Board. She does 5 GP sessions per week.</w:t>
            </w:r>
          </w:p>
          <w:p w14:paraId="791CADD8" w14:textId="77777777" w:rsidR="002672B2" w:rsidRDefault="002672B2" w:rsidP="00EE3A38"/>
          <w:p w14:paraId="77024C1F" w14:textId="1483F1E3" w:rsidR="00515780" w:rsidRPr="003E7CCC" w:rsidRDefault="00EE3A38" w:rsidP="00EE3A38">
            <w:pPr>
              <w:rPr>
                <w:b/>
                <w:bCs/>
              </w:rPr>
            </w:pPr>
            <w:r w:rsidRPr="00EE3A38">
              <w:rPr>
                <w:b/>
                <w:bCs/>
              </w:rPr>
              <w:t xml:space="preserve">Other TMG </w:t>
            </w:r>
            <w:hyperlink r:id="rId8" w:history="1">
              <w:r w:rsidRPr="00EE3A38">
                <w:rPr>
                  <w:rStyle w:val="Hyperlink"/>
                  <w:b/>
                  <w:bCs/>
                </w:rPr>
                <w:t>News:-</w:t>
              </w:r>
            </w:hyperlink>
          </w:p>
          <w:p w14:paraId="03708E93" w14:textId="77777777" w:rsidR="00DD2EF9" w:rsidRDefault="00C10570" w:rsidP="002672B2">
            <w:pPr>
              <w:tabs>
                <w:tab w:val="num" w:pos="1440"/>
              </w:tabs>
            </w:pPr>
            <w:r>
              <w:t xml:space="preserve"># </w:t>
            </w:r>
            <w:r w:rsidR="00AE480B">
              <w:t>F&amp;F Feedback</w:t>
            </w:r>
            <w:r w:rsidR="00DD2EF9">
              <w:t xml:space="preserve">. October results not yet received. </w:t>
            </w:r>
          </w:p>
          <w:p w14:paraId="2E94E163" w14:textId="53C7C541" w:rsidR="00C10570" w:rsidRDefault="00DD2EF9" w:rsidP="002672B2">
            <w:pPr>
              <w:tabs>
                <w:tab w:val="num" w:pos="1440"/>
              </w:tabs>
            </w:pPr>
            <w:r>
              <w:t xml:space="preserve">PR said that she agreed that the move to using the NHS app could lead to a drop in the response rates but that the surgery was not concerned about this. All feedback is monitored. Whole data set cannot be shared as it would be difficult to separate comments from personal data; </w:t>
            </w:r>
            <w:proofErr w:type="gramStart"/>
            <w:r>
              <w:t>also</w:t>
            </w:r>
            <w:proofErr w:type="gramEnd"/>
            <w:r>
              <w:t xml:space="preserve"> comments can include details of GPs etc which it is not appropriate to share. They do examine the data for patterns</w:t>
            </w:r>
            <w:r w:rsidR="0053775D">
              <w:t>,</w:t>
            </w:r>
            <w:r>
              <w:t xml:space="preserve"> </w:t>
            </w:r>
            <w:r w:rsidR="00A35788">
              <w:t xml:space="preserve">would share with PPG if appropriate and </w:t>
            </w:r>
            <w:r>
              <w:t>respond accordingly</w:t>
            </w:r>
            <w:r w:rsidR="0053775D">
              <w:t>.</w:t>
            </w:r>
          </w:p>
          <w:p w14:paraId="30B5B25B" w14:textId="2FE3D13F" w:rsidR="00B370A7" w:rsidRDefault="001256B7" w:rsidP="002672B2">
            <w:pPr>
              <w:tabs>
                <w:tab w:val="num" w:pos="1440"/>
              </w:tabs>
            </w:pPr>
            <w:r w:rsidRPr="001256B7">
              <w:rPr>
                <w:highlight w:val="yellow"/>
              </w:rPr>
              <w:t>JR</w:t>
            </w:r>
            <w:r>
              <w:t xml:space="preserve"> </w:t>
            </w:r>
            <w:r w:rsidR="00B370A7">
              <w:t xml:space="preserve">asked why only the 2023 F&amp;F data is on the website; the 2024 data is being compiled and will be uploaded as soon as it is available. </w:t>
            </w:r>
          </w:p>
          <w:p w14:paraId="2C4ABE5C" w14:textId="77777777" w:rsidR="00B370A7" w:rsidRDefault="00B370A7" w:rsidP="002672B2">
            <w:pPr>
              <w:tabs>
                <w:tab w:val="num" w:pos="1440"/>
              </w:tabs>
            </w:pPr>
          </w:p>
          <w:p w14:paraId="0CF65115" w14:textId="53D01478" w:rsidR="0053775D" w:rsidRPr="0053775D" w:rsidRDefault="0053775D" w:rsidP="002672B2">
            <w:pPr>
              <w:tabs>
                <w:tab w:val="num" w:pos="1440"/>
              </w:tabs>
            </w:pPr>
            <w:r>
              <w:rPr>
                <w:b/>
                <w:bCs/>
              </w:rPr>
              <w:t xml:space="preserve">TMG </w:t>
            </w:r>
            <w:r>
              <w:t>are happy to pay for NAPP subscription despite increased cost.</w:t>
            </w:r>
          </w:p>
          <w:p w14:paraId="36AA7B84" w14:textId="77777777" w:rsidR="004B439C" w:rsidRDefault="004B439C" w:rsidP="00C10570">
            <w:pPr>
              <w:tabs>
                <w:tab w:val="left" w:pos="7176"/>
              </w:tabs>
            </w:pPr>
          </w:p>
          <w:p w14:paraId="756B1E79" w14:textId="37E15DE5" w:rsidR="00EE3A38" w:rsidRDefault="0053775D" w:rsidP="00B134F4">
            <w:r>
              <w:t># RR reported that he and BH have agreed to meet with the Research lead at TMG ref improving patient participation in research.</w:t>
            </w:r>
            <w:r w:rsidR="00C62D48">
              <w:t xml:space="preserve"> There was some discussion as to how TMG approach patients and this varies according to the research. </w:t>
            </w:r>
            <w:r>
              <w:t xml:space="preserve"> BH attended the CPRD </w:t>
            </w:r>
            <w:r w:rsidR="00C62D48">
              <w:t>online event</w:t>
            </w:r>
            <w:r>
              <w:t xml:space="preserve"> about how practices share </w:t>
            </w:r>
            <w:r>
              <w:lastRenderedPageBreak/>
              <w:t xml:space="preserve">information with the national patient data bank and </w:t>
            </w:r>
            <w:r w:rsidR="00C62D48">
              <w:t>protocols in place to protect data when sharing it with 3</w:t>
            </w:r>
            <w:r w:rsidR="00C62D48" w:rsidRPr="00C62D48">
              <w:rPr>
                <w:vertAlign w:val="superscript"/>
              </w:rPr>
              <w:t>rd</w:t>
            </w:r>
            <w:r w:rsidR="00C62D48">
              <w:t xml:space="preserve"> party researchers.</w:t>
            </w:r>
            <w:r>
              <w:t xml:space="preserve">  </w:t>
            </w:r>
            <w:r w:rsidR="00C62D48">
              <w:t xml:space="preserve">The slides for this can be found here; </w:t>
            </w:r>
            <w:hyperlink r:id="rId9" w:history="1">
              <w:r w:rsidR="00C62D48" w:rsidRPr="007C3A4D">
                <w:rPr>
                  <w:rStyle w:val="Hyperlink"/>
                </w:rPr>
                <w:t>https://drive.google.com/file/d/12tvZFUmWwIAzZiJlMfL3B7Qqz3CUsWWp/view?usp=sharing</w:t>
              </w:r>
            </w:hyperlink>
          </w:p>
          <w:p w14:paraId="49DB6FB7" w14:textId="4DDE4A76" w:rsidR="00C62D48" w:rsidRPr="009515C3" w:rsidRDefault="00C62D48" w:rsidP="00B134F4"/>
        </w:tc>
      </w:tr>
      <w:tr w:rsidR="00780BB4" w:rsidRPr="009515C3" w14:paraId="6F5E5583" w14:textId="77777777" w:rsidTr="00254724">
        <w:tc>
          <w:tcPr>
            <w:tcW w:w="392" w:type="dxa"/>
          </w:tcPr>
          <w:p w14:paraId="18BEDC75" w14:textId="08CBCB51" w:rsidR="00780BB4" w:rsidRPr="009515C3" w:rsidRDefault="00780BB4" w:rsidP="009515C3">
            <w:r>
              <w:lastRenderedPageBreak/>
              <w:t>5</w:t>
            </w:r>
          </w:p>
        </w:tc>
        <w:tc>
          <w:tcPr>
            <w:tcW w:w="10093" w:type="dxa"/>
          </w:tcPr>
          <w:p w14:paraId="490D0BEB" w14:textId="0F2AAA39" w:rsidR="00780BB4" w:rsidRDefault="00780BB4" w:rsidP="00780BB4">
            <w:pPr>
              <w:rPr>
                <w:b/>
                <w:bCs/>
              </w:rPr>
            </w:pPr>
            <w:r w:rsidRPr="00780BB4">
              <w:rPr>
                <w:b/>
                <w:bCs/>
              </w:rPr>
              <w:t xml:space="preserve">Events and </w:t>
            </w:r>
            <w:r>
              <w:rPr>
                <w:b/>
                <w:bCs/>
              </w:rPr>
              <w:t>A</w:t>
            </w:r>
            <w:r w:rsidRPr="00780BB4">
              <w:rPr>
                <w:b/>
                <w:bCs/>
              </w:rPr>
              <w:t xml:space="preserve">ctivities </w:t>
            </w:r>
            <w:r>
              <w:rPr>
                <w:b/>
                <w:bCs/>
              </w:rPr>
              <w:t>P</w:t>
            </w:r>
            <w:r w:rsidRPr="00780BB4">
              <w:rPr>
                <w:b/>
                <w:bCs/>
              </w:rPr>
              <w:t>rogress</w:t>
            </w:r>
            <w:r w:rsidR="00A87914">
              <w:rPr>
                <w:b/>
                <w:bCs/>
              </w:rPr>
              <w:t xml:space="preserve"> / Health Issues</w:t>
            </w:r>
          </w:p>
          <w:p w14:paraId="543905E5" w14:textId="77777777" w:rsidR="00780BB4" w:rsidRDefault="00780BB4" w:rsidP="00780BB4">
            <w:pPr>
              <w:rPr>
                <w:b/>
                <w:bCs/>
              </w:rPr>
            </w:pPr>
          </w:p>
          <w:p w14:paraId="5441B62D" w14:textId="064E8CEB" w:rsidR="004B439C" w:rsidRDefault="00780BB4" w:rsidP="00780BB4">
            <w:r>
              <w:rPr>
                <w:b/>
                <w:bCs/>
              </w:rPr>
              <w:t>W</w:t>
            </w:r>
            <w:r w:rsidRPr="00780BB4">
              <w:rPr>
                <w:b/>
                <w:bCs/>
              </w:rPr>
              <w:t>ellbeing</w:t>
            </w:r>
            <w:r w:rsidR="004B439C">
              <w:rPr>
                <w:b/>
                <w:bCs/>
              </w:rPr>
              <w:t xml:space="preserve">: </w:t>
            </w:r>
            <w:r w:rsidR="003B05E5">
              <w:t>HO reported on progress</w:t>
            </w:r>
            <w:r w:rsidR="004B439C">
              <w:t>.</w:t>
            </w:r>
          </w:p>
          <w:p w14:paraId="1CE963B8" w14:textId="6B1D0B27" w:rsidR="004B439C" w:rsidRDefault="004B439C" w:rsidP="00780BB4">
            <w:r>
              <w:t xml:space="preserve"> </w:t>
            </w:r>
          </w:p>
          <w:p w14:paraId="4D29B237" w14:textId="0F10A756" w:rsidR="00780BB4" w:rsidRDefault="004B439C" w:rsidP="00780BB4">
            <w:r w:rsidRPr="004B439C">
              <w:rPr>
                <w:b/>
                <w:bCs/>
              </w:rPr>
              <w:t xml:space="preserve">The Falls </w:t>
            </w:r>
            <w:proofErr w:type="gramStart"/>
            <w:r w:rsidRPr="004B439C">
              <w:rPr>
                <w:b/>
                <w:bCs/>
              </w:rPr>
              <w:t>event</w:t>
            </w:r>
            <w:r>
              <w:t xml:space="preserve"> </w:t>
            </w:r>
            <w:r w:rsidR="003B05E5">
              <w:t>:</w:t>
            </w:r>
            <w:proofErr w:type="gramEnd"/>
            <w:r w:rsidR="003B05E5">
              <w:t xml:space="preserve"> very successful</w:t>
            </w:r>
          </w:p>
          <w:p w14:paraId="0E7AF402" w14:textId="77777777" w:rsidR="00292DFC" w:rsidRDefault="00292DFC" w:rsidP="00780BB4"/>
          <w:p w14:paraId="4F2EEA2B" w14:textId="3060FF42" w:rsidR="00292DFC" w:rsidRDefault="00292DFC" w:rsidP="00780BB4">
            <w:r>
              <w:rPr>
                <w:b/>
                <w:bCs/>
              </w:rPr>
              <w:t xml:space="preserve">The Good Grief event: </w:t>
            </w:r>
            <w:r w:rsidR="003B05E5">
              <w:t xml:space="preserve">only 15 people came to the </w:t>
            </w:r>
            <w:proofErr w:type="gramStart"/>
            <w:r w:rsidR="003B05E5">
              <w:t>hall</w:t>
            </w:r>
            <w:proofErr w:type="gramEnd"/>
            <w:r w:rsidR="003B05E5">
              <w:t xml:space="preserve"> which was disappointing, although HO set out a full array of publicity. 3 people approached organisations for further support. Feedback suggested that one or two speakers would have been welcome.</w:t>
            </w:r>
          </w:p>
          <w:p w14:paraId="2BBCE58A" w14:textId="77777777" w:rsidR="003B05E5" w:rsidRDefault="003B05E5" w:rsidP="00780BB4"/>
          <w:p w14:paraId="157DB4A5" w14:textId="6C54565D" w:rsidR="003B05E5" w:rsidRPr="00DA4AC8" w:rsidRDefault="003B05E5" w:rsidP="00780BB4">
            <w:pPr>
              <w:rPr>
                <w:b/>
                <w:bCs/>
              </w:rPr>
            </w:pPr>
            <w:r w:rsidRPr="003B05E5">
              <w:rPr>
                <w:b/>
                <w:bCs/>
              </w:rPr>
              <w:t>Children’s Mental Health</w:t>
            </w:r>
            <w:r>
              <w:t>: HO is in contact with wellbeing lead in Nailsea School and the plan is to hold the events in school</w:t>
            </w:r>
            <w:r w:rsidR="00F952C8">
              <w:t xml:space="preserve"> to encourage higher participation. There was general agreement but concern that the HO’s scope did not include Backwell School, given the wider TMG/ PPG remit. This represents a tension between differing remits of NTC and PPG. </w:t>
            </w:r>
            <w:r w:rsidR="00DA4AC8">
              <w:t xml:space="preserve">MK pointed out that historically Backwell School has not been welcoming or participative in PPG initiatives. </w:t>
            </w:r>
            <w:r w:rsidR="00DA4AC8">
              <w:rPr>
                <w:b/>
                <w:bCs/>
              </w:rPr>
              <w:t xml:space="preserve">BH </w:t>
            </w:r>
            <w:proofErr w:type="spellStart"/>
            <w:r w:rsidR="00DA4AC8">
              <w:rPr>
                <w:b/>
                <w:bCs/>
              </w:rPr>
              <w:t>sad</w:t>
            </w:r>
            <w:proofErr w:type="spellEnd"/>
            <w:r w:rsidR="00DA4AC8">
              <w:rPr>
                <w:b/>
                <w:bCs/>
              </w:rPr>
              <w:t xml:space="preserve"> she would contact BPC and a Backwell charity who could be supportive of trying to get this into Backwell school.</w:t>
            </w:r>
          </w:p>
          <w:p w14:paraId="7DCC3F54" w14:textId="47A71FF1" w:rsidR="00DA4AC8" w:rsidRDefault="00DA4AC8" w:rsidP="00780BB4">
            <w:r>
              <w:t>There was a question as to whether there was a support group for parents of children with mental health issues.</w:t>
            </w:r>
          </w:p>
          <w:p w14:paraId="0889BEE5" w14:textId="77777777" w:rsidR="00DA4AC8" w:rsidRDefault="00DA4AC8" w:rsidP="00780BB4"/>
          <w:p w14:paraId="6CA00B97" w14:textId="705AF78A" w:rsidR="00DA4AC8" w:rsidRDefault="00DA4AC8" w:rsidP="00780BB4">
            <w:r>
              <w:rPr>
                <w:b/>
                <w:bCs/>
              </w:rPr>
              <w:t xml:space="preserve">Paediatric first aid: </w:t>
            </w:r>
            <w:r>
              <w:t>these groups are ongoing and are well booked up so far. Groups of 8, very hands on; 4 choking dummies and 4 CPR dummies are available.</w:t>
            </w:r>
          </w:p>
          <w:p w14:paraId="1F893310" w14:textId="77777777" w:rsidR="00DA4AC8" w:rsidRPr="00DA4AC8" w:rsidRDefault="00DA4AC8" w:rsidP="00780BB4"/>
          <w:p w14:paraId="20137335" w14:textId="5412B469" w:rsidR="00DA4AC8" w:rsidRPr="00DA4AC8" w:rsidRDefault="00DA4AC8" w:rsidP="00780BB4">
            <w:r>
              <w:rPr>
                <w:b/>
                <w:bCs/>
              </w:rPr>
              <w:t xml:space="preserve">Chronic Illnesses: </w:t>
            </w:r>
            <w:r>
              <w:t>HO reported that they have someone with a stoma bag who is keen to participate.</w:t>
            </w:r>
          </w:p>
          <w:p w14:paraId="2E193CA2" w14:textId="75A62556" w:rsidR="00292DFC" w:rsidRDefault="00292DFC" w:rsidP="00780BB4">
            <w:r w:rsidRPr="00292DFC">
              <w:t xml:space="preserve">PN updated </w:t>
            </w:r>
            <w:r>
              <w:t>the group on progress on th</w:t>
            </w:r>
            <w:r w:rsidR="00DA4AC8">
              <w:t xml:space="preserve">e </w:t>
            </w:r>
            <w:r w:rsidR="00DA4AC8" w:rsidRPr="00DA4AC8">
              <w:rPr>
                <w:b/>
                <w:bCs/>
              </w:rPr>
              <w:t>Stoma Care support group</w:t>
            </w:r>
            <w:r w:rsidRPr="00DA4AC8">
              <w:rPr>
                <w:b/>
                <w:bCs/>
              </w:rPr>
              <w:t xml:space="preserve"> issue</w:t>
            </w:r>
            <w:r>
              <w:t xml:space="preserve">. There will be a meeting on 30/10/24 at 17.00 at No 65 for people with stoma, or who care for people with stoma. </w:t>
            </w:r>
            <w:r w:rsidR="00DA4AC8">
              <w:t>18 people have registered so far. There is no clinical input at the meeting; someone from NTC will be present.</w:t>
            </w:r>
          </w:p>
          <w:p w14:paraId="26478FDB" w14:textId="77777777" w:rsidR="00DA4AC8" w:rsidRDefault="00DA4AC8" w:rsidP="00780BB4"/>
          <w:p w14:paraId="50F7F8DA" w14:textId="0A633A29" w:rsidR="00DA4AC8" w:rsidRPr="00A87914" w:rsidRDefault="00DA4AC8" w:rsidP="00780BB4">
            <w:r>
              <w:rPr>
                <w:b/>
                <w:bCs/>
              </w:rPr>
              <w:t xml:space="preserve">Cardiovascular Disease: </w:t>
            </w:r>
            <w:r w:rsidR="00A87914">
              <w:rPr>
                <w:b/>
                <w:bCs/>
              </w:rPr>
              <w:t xml:space="preserve">DR SP </w:t>
            </w:r>
            <w:r w:rsidR="00A87914">
              <w:t>had raised this at last meeting as a focus. We looked at whether PPG input should be around exploring routes to ‘hard to reach’ people and / or holding appropriate events or activity to raise awareness. DR RM said she would be anxious not to overstimulate demand, overwhelming surgeries; however preventative measures such as this are very important and need to be addressed.</w:t>
            </w:r>
          </w:p>
          <w:p w14:paraId="2F28F065" w14:textId="77777777" w:rsidR="00EF3B77" w:rsidRDefault="00EF3B77" w:rsidP="00780BB4"/>
          <w:p w14:paraId="7E6ED1BE" w14:textId="34C66544" w:rsidR="00780BB4" w:rsidRDefault="00EF3B77" w:rsidP="00A87914">
            <w:r>
              <w:rPr>
                <w:b/>
                <w:bCs/>
              </w:rPr>
              <w:t>Diabetes Club</w:t>
            </w:r>
            <w:r w:rsidR="00A87914">
              <w:rPr>
                <w:b/>
                <w:bCs/>
              </w:rPr>
              <w:t xml:space="preserve">: </w:t>
            </w:r>
            <w:r>
              <w:t xml:space="preserve">This is ongoing. </w:t>
            </w:r>
            <w:r w:rsidR="00A87914">
              <w:t>Better attendance at the last meeting; the dietician attended. We have made good progress with the programme of professionals. HO and the team at NTC are helping with a logo and a poster.</w:t>
            </w:r>
          </w:p>
          <w:p w14:paraId="23188B84" w14:textId="77777777" w:rsidR="00A87914" w:rsidRDefault="00A87914" w:rsidP="00A87914">
            <w:pPr>
              <w:rPr>
                <w:b/>
                <w:bCs/>
              </w:rPr>
            </w:pPr>
          </w:p>
          <w:p w14:paraId="24766D42" w14:textId="77777777" w:rsidR="00A87914" w:rsidRDefault="00A87914" w:rsidP="00A87914">
            <w:r>
              <w:rPr>
                <w:b/>
                <w:bCs/>
              </w:rPr>
              <w:t xml:space="preserve">Fractures / Hips: </w:t>
            </w:r>
            <w:r>
              <w:t>BH mentioned an article about increasing prevalence of hip fractures. MC said that there had been a link between fractures sustained in youth and hip fractures in later life. There is an initiative to research people with early fractures.</w:t>
            </w:r>
          </w:p>
          <w:p w14:paraId="6D1C3D08" w14:textId="450C9BEF" w:rsidR="00B370A7" w:rsidRPr="00A87914" w:rsidRDefault="00B370A7" w:rsidP="00A87914"/>
        </w:tc>
      </w:tr>
      <w:tr w:rsidR="009515C3" w:rsidRPr="009515C3" w14:paraId="0EC3F58B" w14:textId="77777777" w:rsidTr="00254724">
        <w:tc>
          <w:tcPr>
            <w:tcW w:w="392" w:type="dxa"/>
          </w:tcPr>
          <w:p w14:paraId="6E4CC356" w14:textId="74E5990F" w:rsidR="009515C3" w:rsidRPr="009515C3" w:rsidRDefault="00B954DF" w:rsidP="009515C3">
            <w:r>
              <w:t>6</w:t>
            </w:r>
          </w:p>
        </w:tc>
        <w:tc>
          <w:tcPr>
            <w:tcW w:w="10093" w:type="dxa"/>
          </w:tcPr>
          <w:p w14:paraId="08C859A2" w14:textId="77777777" w:rsidR="00515780" w:rsidRDefault="00515780" w:rsidP="003E7CCC">
            <w:pPr>
              <w:rPr>
                <w:b/>
                <w:bCs/>
              </w:rPr>
            </w:pPr>
            <w:r w:rsidRPr="00515780">
              <w:rPr>
                <w:b/>
                <w:bCs/>
              </w:rPr>
              <w:t>Communications</w:t>
            </w:r>
          </w:p>
          <w:p w14:paraId="77C6957D" w14:textId="77777777" w:rsidR="003E7CCC" w:rsidRDefault="00B370A7" w:rsidP="00B370A7">
            <w:pPr>
              <w:rPr>
                <w:b/>
                <w:bCs/>
              </w:rPr>
            </w:pPr>
            <w:r>
              <w:t xml:space="preserve">The summary of the September Minutes had been sent to the paper media organisations in time for publication in November issues. Short summaries and a link to the full minutes on the website have been posted onto online forums. </w:t>
            </w:r>
            <w:r>
              <w:rPr>
                <w:b/>
                <w:bCs/>
              </w:rPr>
              <w:t>NB it is important that minutes are posted onto the TMG website.</w:t>
            </w:r>
          </w:p>
          <w:p w14:paraId="11EEBC8C" w14:textId="511CA699" w:rsidR="00B370A7" w:rsidRPr="00B370A7" w:rsidRDefault="00B370A7" w:rsidP="00B370A7">
            <w:pPr>
              <w:rPr>
                <w:b/>
                <w:bCs/>
              </w:rPr>
            </w:pPr>
          </w:p>
        </w:tc>
      </w:tr>
      <w:tr w:rsidR="009515C3" w:rsidRPr="009515C3" w14:paraId="4562424E" w14:textId="77777777" w:rsidTr="00254724">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3541B891" w14:textId="77777777" w:rsidR="00B954DF" w:rsidRDefault="00B954DF" w:rsidP="00D64F09"/>
          <w:p w14:paraId="093A5B37" w14:textId="30D639C5" w:rsidR="00B954DF" w:rsidRPr="00B370A7" w:rsidRDefault="00B370A7" w:rsidP="00D64F09">
            <w:pPr>
              <w:rPr>
                <w:b/>
                <w:bCs/>
              </w:rPr>
            </w:pPr>
            <w:r>
              <w:t xml:space="preserve"># CBJ concerned that there are few younger people on the PPG and that we need a recruitment campaign. MK said that there was already a recruitment poster that had been designed some years ago. </w:t>
            </w:r>
            <w:r>
              <w:rPr>
                <w:b/>
                <w:bCs/>
              </w:rPr>
              <w:t>MK to look in her papers; BH to investigate archived material.</w:t>
            </w:r>
          </w:p>
          <w:p w14:paraId="450AAAFD" w14:textId="77777777" w:rsidR="0069360F" w:rsidRDefault="0069360F" w:rsidP="00D64F09"/>
          <w:p w14:paraId="5262292B" w14:textId="1B902E3D" w:rsidR="0069360F" w:rsidRDefault="0069360F" w:rsidP="00D64F09">
            <w:r>
              <w:t xml:space="preserve"># </w:t>
            </w:r>
            <w:r w:rsidR="00B370A7">
              <w:t>Wellbeing at TMG: PR said it is the social prescribing team at TMG</w:t>
            </w:r>
            <w:r w:rsidR="000E5114">
              <w:t>. It was suggested that they could point people to PPG as possible volunteering activity.</w:t>
            </w:r>
          </w:p>
          <w:p w14:paraId="0E13378D" w14:textId="77777777" w:rsidR="0069360F" w:rsidRDefault="0069360F" w:rsidP="00D64F09"/>
          <w:p w14:paraId="56D62B05" w14:textId="17E727A7" w:rsidR="00F9623B" w:rsidRDefault="0069360F" w:rsidP="00D64F09">
            <w:r>
              <w:t xml:space="preserve"># </w:t>
            </w:r>
            <w:r w:rsidR="000E5114">
              <w:t>Booking appointments online and ‘</w:t>
            </w:r>
            <w:r w:rsidR="000E5114" w:rsidRPr="000E5114">
              <w:rPr>
                <w:i/>
                <w:iCs/>
              </w:rPr>
              <w:t xml:space="preserve">response within 3 </w:t>
            </w:r>
            <w:proofErr w:type="gramStart"/>
            <w:r w:rsidR="000E5114" w:rsidRPr="000E5114">
              <w:rPr>
                <w:i/>
                <w:iCs/>
              </w:rPr>
              <w:t>days’</w:t>
            </w:r>
            <w:proofErr w:type="gramEnd"/>
            <w:r w:rsidR="000E5114">
              <w:t>. PR emphasised that this is a triage system and not for booking emergency appointments. It does allow you to book ahead with a chosen doctor.</w:t>
            </w:r>
          </w:p>
          <w:p w14:paraId="7D5860BC" w14:textId="77777777" w:rsidR="000E5114" w:rsidRPr="000E5114" w:rsidRDefault="000E5114" w:rsidP="00D64F09"/>
          <w:p w14:paraId="7B6C22B3" w14:textId="77777777" w:rsidR="0069360F" w:rsidRDefault="000E5114" w:rsidP="00D64F09">
            <w:r>
              <w:t># Strike action by GPs? PR said that this was an ongoing collective action with a focus on internal processes. No decision has yet been made.</w:t>
            </w:r>
          </w:p>
          <w:p w14:paraId="00151F66" w14:textId="2D5B1CED" w:rsidR="000E5114" w:rsidRPr="000E5114" w:rsidRDefault="000E5114" w:rsidP="00D64F09"/>
        </w:tc>
      </w:tr>
      <w:tr w:rsidR="009515C3" w:rsidRPr="009515C3" w14:paraId="2BE57939" w14:textId="77777777" w:rsidTr="00254724">
        <w:tc>
          <w:tcPr>
            <w:tcW w:w="392" w:type="dxa"/>
          </w:tcPr>
          <w:p w14:paraId="6596714B" w14:textId="13E3CAF5" w:rsidR="009515C3" w:rsidRPr="009515C3" w:rsidRDefault="00780BB4" w:rsidP="009515C3">
            <w:r>
              <w:lastRenderedPageBreak/>
              <w:t>9</w:t>
            </w:r>
          </w:p>
        </w:tc>
        <w:tc>
          <w:tcPr>
            <w:tcW w:w="10093" w:type="dxa"/>
          </w:tcPr>
          <w:p w14:paraId="335B9AA2" w14:textId="003F0484" w:rsidR="003E7CCC" w:rsidRDefault="003E7CCC" w:rsidP="003E7CCC">
            <w:r w:rsidRPr="003E7CCC">
              <w:rPr>
                <w:b/>
                <w:bCs/>
              </w:rPr>
              <w:t>NEXT MEETING</w:t>
            </w:r>
            <w:r w:rsidRPr="003E7CCC">
              <w:t>:</w:t>
            </w:r>
            <w:r w:rsidR="00780BB4">
              <w:t xml:space="preserve"> </w:t>
            </w:r>
            <w:r w:rsidRPr="003E7CCC">
              <w:t xml:space="preserve">Tuesday </w:t>
            </w:r>
            <w:r w:rsidR="000E5114">
              <w:t>26</w:t>
            </w:r>
            <w:r w:rsidR="000E5114" w:rsidRPr="000E5114">
              <w:rPr>
                <w:vertAlign w:val="superscript"/>
              </w:rPr>
              <w:t>th</w:t>
            </w:r>
            <w:r w:rsidR="000E5114">
              <w:t xml:space="preserve"> November</w:t>
            </w:r>
            <w:r w:rsidR="000E5114" w:rsidRPr="003E7CCC">
              <w:t>.</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Pr="003E7CCC" w:rsidRDefault="003E7CCC" w:rsidP="003E7CCC">
            <w:r w:rsidRPr="003E7CCC">
              <w:rPr>
                <w:b/>
                <w:bCs/>
              </w:rPr>
              <w:t>MEETING LOCATION</w:t>
            </w:r>
            <w:r w:rsidRPr="003E7CCC">
              <w:t xml:space="preserve">: </w:t>
            </w:r>
            <w:r w:rsidR="0069360F">
              <w:t>No 65 High Street</w:t>
            </w:r>
            <w:r w:rsidRPr="003E7CCC">
              <w:t xml:space="preserve">  </w:t>
            </w:r>
          </w:p>
          <w:p w14:paraId="5B1F69CD" w14:textId="77777777" w:rsidR="003E7CCC" w:rsidRPr="003E7CCC" w:rsidRDefault="003E7CCC" w:rsidP="003E7CCC"/>
          <w:p w14:paraId="5785323F" w14:textId="77777777" w:rsidR="003E7CCC" w:rsidRPr="009515C3" w:rsidRDefault="003E7CCC" w:rsidP="009515C3"/>
        </w:tc>
      </w:tr>
    </w:tbl>
    <w:p w14:paraId="63F30067" w14:textId="77777777" w:rsidR="009515C3" w:rsidRPr="009515C3" w:rsidRDefault="009515C3" w:rsidP="009515C3"/>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BA995" w14:textId="77777777" w:rsidR="00F61023" w:rsidRDefault="00F61023" w:rsidP="009B588F">
      <w:pPr>
        <w:spacing w:after="0" w:line="240" w:lineRule="auto"/>
      </w:pPr>
      <w:r>
        <w:separator/>
      </w:r>
    </w:p>
  </w:endnote>
  <w:endnote w:type="continuationSeparator" w:id="0">
    <w:p w14:paraId="6BCD3875" w14:textId="77777777" w:rsidR="00F61023" w:rsidRDefault="00F61023"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70FEE" w14:textId="77777777" w:rsidR="00F61023" w:rsidRDefault="00F61023" w:rsidP="009B588F">
      <w:pPr>
        <w:spacing w:after="0" w:line="240" w:lineRule="auto"/>
      </w:pPr>
      <w:r>
        <w:separator/>
      </w:r>
    </w:p>
  </w:footnote>
  <w:footnote w:type="continuationSeparator" w:id="0">
    <w:p w14:paraId="4E5B7717" w14:textId="77777777" w:rsidR="00F61023" w:rsidRDefault="00F61023"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3"/>
  </w:num>
  <w:num w:numId="2" w16cid:durableId="949243160">
    <w:abstractNumId w:val="11"/>
  </w:num>
  <w:num w:numId="3" w16cid:durableId="1216166220">
    <w:abstractNumId w:val="14"/>
  </w:num>
  <w:num w:numId="4" w16cid:durableId="131213161">
    <w:abstractNumId w:val="7"/>
  </w:num>
  <w:num w:numId="5" w16cid:durableId="876746997">
    <w:abstractNumId w:val="10"/>
  </w:num>
  <w:num w:numId="6" w16cid:durableId="1612013240">
    <w:abstractNumId w:val="17"/>
  </w:num>
  <w:num w:numId="7" w16cid:durableId="1338847772">
    <w:abstractNumId w:val="15"/>
  </w:num>
  <w:num w:numId="8" w16cid:durableId="39406106">
    <w:abstractNumId w:val="0"/>
  </w:num>
  <w:num w:numId="9" w16cid:durableId="1737389052">
    <w:abstractNumId w:val="4"/>
  </w:num>
  <w:num w:numId="10" w16cid:durableId="413089082">
    <w:abstractNumId w:val="12"/>
  </w:num>
  <w:num w:numId="11" w16cid:durableId="945504237">
    <w:abstractNumId w:val="16"/>
  </w:num>
  <w:num w:numId="12" w16cid:durableId="526918215">
    <w:abstractNumId w:val="5"/>
  </w:num>
  <w:num w:numId="13" w16cid:durableId="1035888698">
    <w:abstractNumId w:val="6"/>
  </w:num>
  <w:num w:numId="14" w16cid:durableId="547575808">
    <w:abstractNumId w:val="2"/>
  </w:num>
  <w:num w:numId="15" w16cid:durableId="3896264">
    <w:abstractNumId w:val="8"/>
  </w:num>
  <w:num w:numId="16" w16cid:durableId="569384204">
    <w:abstractNumId w:val="9"/>
  </w:num>
  <w:num w:numId="17" w16cid:durableId="1271280896">
    <w:abstractNumId w:val="18"/>
  </w:num>
  <w:num w:numId="18" w16cid:durableId="473183746">
    <w:abstractNumId w:val="1"/>
  </w:num>
  <w:num w:numId="19" w16cid:durableId="957875361">
    <w:abstractNumId w:val="19"/>
  </w:num>
  <w:num w:numId="20" w16cid:durableId="955453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9022C"/>
    <w:rsid w:val="000A6130"/>
    <w:rsid w:val="000D4FFC"/>
    <w:rsid w:val="000E5114"/>
    <w:rsid w:val="0010237D"/>
    <w:rsid w:val="00105DF7"/>
    <w:rsid w:val="0011755D"/>
    <w:rsid w:val="001256B7"/>
    <w:rsid w:val="00132DEC"/>
    <w:rsid w:val="00137174"/>
    <w:rsid w:val="001404A8"/>
    <w:rsid w:val="00150C8C"/>
    <w:rsid w:val="00170029"/>
    <w:rsid w:val="0018128A"/>
    <w:rsid w:val="001812C6"/>
    <w:rsid w:val="00187545"/>
    <w:rsid w:val="001919FC"/>
    <w:rsid w:val="001C2618"/>
    <w:rsid w:val="001C6291"/>
    <w:rsid w:val="001D4D6C"/>
    <w:rsid w:val="001D763C"/>
    <w:rsid w:val="001F152F"/>
    <w:rsid w:val="00200DDF"/>
    <w:rsid w:val="00231239"/>
    <w:rsid w:val="00255140"/>
    <w:rsid w:val="002672B2"/>
    <w:rsid w:val="00292DFC"/>
    <w:rsid w:val="002D1CAA"/>
    <w:rsid w:val="002D2A51"/>
    <w:rsid w:val="00304CD0"/>
    <w:rsid w:val="00321074"/>
    <w:rsid w:val="00323E10"/>
    <w:rsid w:val="00350627"/>
    <w:rsid w:val="00371B5D"/>
    <w:rsid w:val="003B05E5"/>
    <w:rsid w:val="003B6610"/>
    <w:rsid w:val="003C5DC3"/>
    <w:rsid w:val="003C703B"/>
    <w:rsid w:val="003E7CCC"/>
    <w:rsid w:val="003F5337"/>
    <w:rsid w:val="004023F8"/>
    <w:rsid w:val="0040529B"/>
    <w:rsid w:val="00405529"/>
    <w:rsid w:val="00423592"/>
    <w:rsid w:val="0044111B"/>
    <w:rsid w:val="0044331D"/>
    <w:rsid w:val="0046005C"/>
    <w:rsid w:val="004851BE"/>
    <w:rsid w:val="00495848"/>
    <w:rsid w:val="004A129A"/>
    <w:rsid w:val="004B2D65"/>
    <w:rsid w:val="004B439C"/>
    <w:rsid w:val="004B53BA"/>
    <w:rsid w:val="004E3586"/>
    <w:rsid w:val="004E54AA"/>
    <w:rsid w:val="004F7472"/>
    <w:rsid w:val="005006BA"/>
    <w:rsid w:val="00510160"/>
    <w:rsid w:val="00515780"/>
    <w:rsid w:val="0053775D"/>
    <w:rsid w:val="00540C1B"/>
    <w:rsid w:val="00560DF4"/>
    <w:rsid w:val="005923D8"/>
    <w:rsid w:val="005A5DAD"/>
    <w:rsid w:val="005B491E"/>
    <w:rsid w:val="005E72A6"/>
    <w:rsid w:val="005F42AD"/>
    <w:rsid w:val="00605F02"/>
    <w:rsid w:val="00617A09"/>
    <w:rsid w:val="00633386"/>
    <w:rsid w:val="00640A9B"/>
    <w:rsid w:val="00661A2D"/>
    <w:rsid w:val="00675B4D"/>
    <w:rsid w:val="00681F41"/>
    <w:rsid w:val="00682A20"/>
    <w:rsid w:val="00692A9D"/>
    <w:rsid w:val="0069347B"/>
    <w:rsid w:val="0069360F"/>
    <w:rsid w:val="006B68D4"/>
    <w:rsid w:val="006D17A2"/>
    <w:rsid w:val="006D2D1B"/>
    <w:rsid w:val="006F461B"/>
    <w:rsid w:val="00705C29"/>
    <w:rsid w:val="00710BA7"/>
    <w:rsid w:val="00720268"/>
    <w:rsid w:val="00732E50"/>
    <w:rsid w:val="00770615"/>
    <w:rsid w:val="0077106D"/>
    <w:rsid w:val="00780BB4"/>
    <w:rsid w:val="007915CD"/>
    <w:rsid w:val="007A04AF"/>
    <w:rsid w:val="007A32B9"/>
    <w:rsid w:val="007B401F"/>
    <w:rsid w:val="007B4987"/>
    <w:rsid w:val="007E54BC"/>
    <w:rsid w:val="0086501A"/>
    <w:rsid w:val="008E6A36"/>
    <w:rsid w:val="009159E4"/>
    <w:rsid w:val="00931403"/>
    <w:rsid w:val="009326C6"/>
    <w:rsid w:val="00950456"/>
    <w:rsid w:val="009515C3"/>
    <w:rsid w:val="00972F22"/>
    <w:rsid w:val="00973C7C"/>
    <w:rsid w:val="009A43FA"/>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73212"/>
    <w:rsid w:val="00A867C8"/>
    <w:rsid w:val="00A87914"/>
    <w:rsid w:val="00A978A5"/>
    <w:rsid w:val="00AB1C0C"/>
    <w:rsid w:val="00AB23D8"/>
    <w:rsid w:val="00AD1247"/>
    <w:rsid w:val="00AE1587"/>
    <w:rsid w:val="00AE480B"/>
    <w:rsid w:val="00AE758E"/>
    <w:rsid w:val="00B04E74"/>
    <w:rsid w:val="00B10032"/>
    <w:rsid w:val="00B134F4"/>
    <w:rsid w:val="00B20258"/>
    <w:rsid w:val="00B370A7"/>
    <w:rsid w:val="00B75E9A"/>
    <w:rsid w:val="00B86DF9"/>
    <w:rsid w:val="00B954DF"/>
    <w:rsid w:val="00BC1441"/>
    <w:rsid w:val="00BF0377"/>
    <w:rsid w:val="00BF07C5"/>
    <w:rsid w:val="00C043F7"/>
    <w:rsid w:val="00C10570"/>
    <w:rsid w:val="00C423BD"/>
    <w:rsid w:val="00C57B24"/>
    <w:rsid w:val="00C62D48"/>
    <w:rsid w:val="00C670C5"/>
    <w:rsid w:val="00C75A2A"/>
    <w:rsid w:val="00C91D11"/>
    <w:rsid w:val="00CA7EF5"/>
    <w:rsid w:val="00CC51B6"/>
    <w:rsid w:val="00CD4BCF"/>
    <w:rsid w:val="00CF5216"/>
    <w:rsid w:val="00D12925"/>
    <w:rsid w:val="00D13CC6"/>
    <w:rsid w:val="00D238EA"/>
    <w:rsid w:val="00D3180F"/>
    <w:rsid w:val="00D607E5"/>
    <w:rsid w:val="00D61874"/>
    <w:rsid w:val="00D64F09"/>
    <w:rsid w:val="00D768B6"/>
    <w:rsid w:val="00D80DFB"/>
    <w:rsid w:val="00D81C1F"/>
    <w:rsid w:val="00D8205C"/>
    <w:rsid w:val="00DA459D"/>
    <w:rsid w:val="00DA4AC8"/>
    <w:rsid w:val="00DC2779"/>
    <w:rsid w:val="00DD2A37"/>
    <w:rsid w:val="00DD2EF9"/>
    <w:rsid w:val="00DD320A"/>
    <w:rsid w:val="00DE30C5"/>
    <w:rsid w:val="00E063B7"/>
    <w:rsid w:val="00E13BEF"/>
    <w:rsid w:val="00E23BC2"/>
    <w:rsid w:val="00E27F6F"/>
    <w:rsid w:val="00E559AC"/>
    <w:rsid w:val="00E8153E"/>
    <w:rsid w:val="00EA3DDD"/>
    <w:rsid w:val="00EB3A1E"/>
    <w:rsid w:val="00EC309D"/>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A4F"/>
    <w:rsid w:val="00F73719"/>
    <w:rsid w:val="00F74A72"/>
    <w:rsid w:val="00F86669"/>
    <w:rsid w:val="00F95073"/>
    <w:rsid w:val="00F952C8"/>
    <w:rsid w:val="00F9623B"/>
    <w:rsid w:val="00F96B82"/>
    <w:rsid w:val="00FB3DB9"/>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2tvZFUmWwIAzZiJlMfL3B7Qqz3CUsWWp/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Barbara Harris</cp:lastModifiedBy>
  <cp:revision>4</cp:revision>
  <cp:lastPrinted>2024-07-31T08:24:00Z</cp:lastPrinted>
  <dcterms:created xsi:type="dcterms:W3CDTF">2024-10-25T05:35:00Z</dcterms:created>
  <dcterms:modified xsi:type="dcterms:W3CDTF">2024-11-09T14:52:00Z</dcterms:modified>
</cp:coreProperties>
</file>